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74CB1" w14:textId="77777777" w:rsidR="00A14D4F" w:rsidRPr="00405F5F" w:rsidRDefault="00616617" w:rsidP="00616617">
      <w:pPr>
        <w:widowControl w:val="0"/>
        <w:rPr>
          <w:rFonts w:ascii="Arial" w:eastAsia="Calibri" w:hAnsi="Arial" w:cs="Arial"/>
          <w:b/>
          <w:bCs/>
          <w:sz w:val="24"/>
          <w:szCs w:val="24"/>
          <w:lang w:eastAsia="en-US"/>
        </w:rPr>
      </w:pPr>
      <w:r w:rsidRPr="00405F5F">
        <w:rPr>
          <w:rFonts w:ascii="Arial" w:eastAsia="Calibri" w:hAnsi="Arial" w:cs="Arial"/>
          <w:b/>
          <w:bCs/>
          <w:sz w:val="24"/>
          <w:szCs w:val="24"/>
          <w:lang w:eastAsia="en-US"/>
        </w:rPr>
        <w:t>Verschillen nieuw-format-beoordelingsverkla</w:t>
      </w:r>
      <w:r w:rsidR="001E01BF" w:rsidRPr="00405F5F">
        <w:rPr>
          <w:rFonts w:ascii="Arial" w:eastAsia="Calibri" w:hAnsi="Arial" w:cs="Arial"/>
          <w:b/>
          <w:bCs/>
          <w:sz w:val="24"/>
          <w:szCs w:val="24"/>
          <w:lang w:eastAsia="en-US"/>
        </w:rPr>
        <w:t>r</w:t>
      </w:r>
      <w:r w:rsidRPr="00405F5F">
        <w:rPr>
          <w:rFonts w:ascii="Arial" w:eastAsia="Calibri" w:hAnsi="Arial" w:cs="Arial"/>
          <w:b/>
          <w:bCs/>
          <w:sz w:val="24"/>
          <w:szCs w:val="24"/>
          <w:lang w:eastAsia="en-US"/>
        </w:rPr>
        <w:t>ingen en Standaard 2400</w:t>
      </w:r>
    </w:p>
    <w:p w14:paraId="4FE5F5D8" w14:textId="77777777" w:rsidR="00616617" w:rsidRDefault="00616617" w:rsidP="00616617">
      <w:pPr>
        <w:widowControl w:val="0"/>
        <w:rPr>
          <w:rFonts w:ascii="Arial" w:eastAsia="Calibri" w:hAnsi="Arial" w:cs="Arial"/>
          <w:lang w:eastAsia="en-US"/>
        </w:rPr>
      </w:pPr>
    </w:p>
    <w:p w14:paraId="44154D9D" w14:textId="77777777" w:rsidR="00616617" w:rsidRPr="00616617" w:rsidRDefault="00616617" w:rsidP="005C019F">
      <w:pPr>
        <w:widowControl w:val="0"/>
        <w:numPr>
          <w:ilvl w:val="0"/>
          <w:numId w:val="13"/>
        </w:numPr>
        <w:rPr>
          <w:rFonts w:ascii="Arial" w:eastAsia="Calibri" w:hAnsi="Arial" w:cs="Arial"/>
          <w:lang w:eastAsia="en-US"/>
        </w:rPr>
      </w:pPr>
      <w:r w:rsidRPr="00616617">
        <w:rPr>
          <w:rFonts w:ascii="Arial" w:eastAsia="Calibri" w:hAnsi="Arial" w:cs="Arial"/>
          <w:lang w:eastAsia="en-US"/>
        </w:rPr>
        <w:t>de formulering van de conclusie in de paragrafen 'Onze conclusie'/'Onze conclusie met beperking'/'Onze afkeurende conclusie';</w:t>
      </w:r>
    </w:p>
    <w:p w14:paraId="004F5A54" w14:textId="77777777" w:rsidR="00616617" w:rsidRPr="00616617" w:rsidRDefault="00616617" w:rsidP="005C019F">
      <w:pPr>
        <w:widowControl w:val="0"/>
        <w:numPr>
          <w:ilvl w:val="0"/>
          <w:numId w:val="13"/>
        </w:numPr>
        <w:rPr>
          <w:rFonts w:ascii="Arial" w:eastAsia="Calibri" w:hAnsi="Arial" w:cs="Arial"/>
          <w:lang w:eastAsia="en-US"/>
        </w:rPr>
      </w:pPr>
      <w:r w:rsidRPr="00616617">
        <w:rPr>
          <w:rFonts w:ascii="Arial" w:eastAsia="Calibri" w:hAnsi="Arial" w:cs="Arial"/>
          <w:lang w:eastAsia="en-US"/>
        </w:rPr>
        <w:t>de paragraaf 'Basis voor onze conclusie' bij een goedkeurende conclusie;</w:t>
      </w:r>
    </w:p>
    <w:p w14:paraId="7F48F744" w14:textId="77777777" w:rsidR="00616617" w:rsidRPr="00616617" w:rsidRDefault="00616617" w:rsidP="005C019F">
      <w:pPr>
        <w:widowControl w:val="0"/>
        <w:numPr>
          <w:ilvl w:val="0"/>
          <w:numId w:val="13"/>
        </w:numPr>
        <w:rPr>
          <w:rFonts w:ascii="Arial" w:eastAsia="Calibri" w:hAnsi="Arial" w:cs="Arial"/>
          <w:lang w:eastAsia="en-US"/>
        </w:rPr>
      </w:pPr>
      <w:r w:rsidRPr="00616617">
        <w:rPr>
          <w:rFonts w:ascii="Arial" w:eastAsia="Calibri" w:hAnsi="Arial" w:cs="Arial"/>
          <w:lang w:eastAsia="en-US"/>
        </w:rPr>
        <w:t>de volgorde van een aangepaste conclusie en de onderbouwing daarvoor;</w:t>
      </w:r>
    </w:p>
    <w:p w14:paraId="2D42F919" w14:textId="77777777" w:rsidR="00616617" w:rsidRPr="00616617" w:rsidRDefault="00616617" w:rsidP="005C019F">
      <w:pPr>
        <w:widowControl w:val="0"/>
        <w:numPr>
          <w:ilvl w:val="0"/>
          <w:numId w:val="13"/>
        </w:numPr>
        <w:rPr>
          <w:rFonts w:ascii="Arial" w:eastAsia="Calibri" w:hAnsi="Arial" w:cs="Arial"/>
          <w:lang w:eastAsia="en-US"/>
        </w:rPr>
      </w:pPr>
      <w:r w:rsidRPr="00616617">
        <w:rPr>
          <w:rFonts w:ascii="Arial" w:eastAsia="Calibri" w:hAnsi="Arial" w:cs="Arial"/>
          <w:lang w:eastAsia="en-US"/>
        </w:rPr>
        <w:t>de volgorde van de paragraaf met de conclusie en een benadrukkingsparagraaf;</w:t>
      </w:r>
    </w:p>
    <w:p w14:paraId="7D5AECA6" w14:textId="0EB9E012" w:rsidR="00217CDA" w:rsidRDefault="006E54AC" w:rsidP="005C019F">
      <w:pPr>
        <w:widowControl w:val="0"/>
        <w:numPr>
          <w:ilvl w:val="0"/>
          <w:numId w:val="13"/>
        </w:numPr>
        <w:rPr>
          <w:rFonts w:ascii="Arial" w:eastAsia="Calibri" w:hAnsi="Arial" w:cs="Arial"/>
          <w:lang w:eastAsia="en-US"/>
        </w:rPr>
      </w:pPr>
      <w:r>
        <w:rPr>
          <w:rFonts w:ascii="Arial" w:eastAsia="Calibri" w:hAnsi="Arial" w:cs="Arial"/>
          <w:lang w:eastAsia="en-US"/>
        </w:rPr>
        <w:t xml:space="preserve">vanaf eind 2022 maakt </w:t>
      </w:r>
      <w:r w:rsidR="008A7B9D">
        <w:rPr>
          <w:rFonts w:ascii="Arial" w:eastAsia="Calibri" w:hAnsi="Arial" w:cs="Arial"/>
          <w:lang w:eastAsia="en-US"/>
        </w:rPr>
        <w:t xml:space="preserve">de NBA Taxonomie 2.1 het mogelijk dat de XBRL-instances van </w:t>
      </w:r>
      <w:r w:rsidR="00217CDA" w:rsidRPr="1709C3F1">
        <w:rPr>
          <w:rFonts w:ascii="Arial" w:eastAsia="Calibri" w:hAnsi="Arial" w:cs="Arial"/>
          <w:lang w:eastAsia="en-US"/>
        </w:rPr>
        <w:t xml:space="preserve">de nieuw-format-beoordelingsverklaringen paragrafen </w:t>
      </w:r>
      <w:r w:rsidR="008A7B9D" w:rsidRPr="1709C3F1">
        <w:rPr>
          <w:rFonts w:ascii="Arial" w:eastAsia="Calibri" w:hAnsi="Arial" w:cs="Arial"/>
          <w:lang w:eastAsia="en-US"/>
        </w:rPr>
        <w:t xml:space="preserve">kunnen </w:t>
      </w:r>
      <w:r w:rsidR="00217CDA" w:rsidRPr="1709C3F1">
        <w:rPr>
          <w:rFonts w:ascii="Arial" w:eastAsia="Calibri" w:hAnsi="Arial" w:cs="Arial"/>
          <w:lang w:eastAsia="en-US"/>
        </w:rPr>
        <w:t>bevatten over materialiteit, reikwijdte beoordeling van een groep en kernpunten van de beoordeling;</w:t>
      </w:r>
      <w:r w:rsidR="008A7B9D">
        <w:rPr>
          <w:rFonts w:ascii="Arial" w:eastAsia="Calibri" w:hAnsi="Arial" w:cs="Arial"/>
          <w:lang w:eastAsia="en-US"/>
        </w:rPr>
        <w:t xml:space="preserve"> Later bezien of dit wordt gecommuniceerd in NB-teksten bij de voorbeeldrapportages in de NBA-voorbeeldteksten of ook in een toelichtende paragraaf in de gewijzigde Standaard 2400. Overigens is voorzien vereisten zoals bij de overeenkomstige paragrafen in de controleverklaring achterwege te laten. Bij kernpunten in de beoordelingsverklaring blijft een vereiste achterwege om ook een paragraaf over materialiteit o te nemen, en in voorkomend geval, over reikwijdte van de groepsbeoordeling</w:t>
      </w:r>
      <w:r w:rsidR="008A7B9D" w:rsidRPr="1709C3F1">
        <w:rPr>
          <w:rFonts w:ascii="Arial" w:eastAsia="Calibri" w:hAnsi="Arial" w:cs="Arial"/>
          <w:lang w:eastAsia="en-US"/>
        </w:rPr>
        <w:t>;</w:t>
      </w:r>
    </w:p>
    <w:p w14:paraId="2435A1D4" w14:textId="77777777" w:rsidR="00616617" w:rsidRDefault="00616617" w:rsidP="005C019F">
      <w:pPr>
        <w:widowControl w:val="0"/>
        <w:numPr>
          <w:ilvl w:val="0"/>
          <w:numId w:val="13"/>
        </w:numPr>
        <w:rPr>
          <w:rFonts w:ascii="Arial" w:eastAsia="Calibri" w:hAnsi="Arial" w:cs="Arial"/>
          <w:lang w:eastAsia="en-US"/>
        </w:rPr>
      </w:pPr>
      <w:r w:rsidRPr="00616617">
        <w:rPr>
          <w:rFonts w:ascii="Arial" w:eastAsia="Calibri" w:hAnsi="Arial" w:cs="Arial"/>
          <w:lang w:eastAsia="en-US"/>
        </w:rPr>
        <w:t>door de werkzaamheden tijdens een beoordelingsopdracht brengt de accountant geen controleverklaring tot uitdrukking.</w:t>
      </w:r>
    </w:p>
    <w:p w14:paraId="388E0FDE" w14:textId="77777777" w:rsidR="00616617" w:rsidRDefault="00616617" w:rsidP="00616617">
      <w:pPr>
        <w:widowControl w:val="0"/>
        <w:rPr>
          <w:rFonts w:ascii="Arial" w:eastAsia="Calibri" w:hAnsi="Arial" w:cs="Arial"/>
          <w:lang w:eastAsia="en-US"/>
        </w:rPr>
      </w:pPr>
    </w:p>
    <w:p w14:paraId="3D0386EC" w14:textId="77777777" w:rsidR="000176A4" w:rsidRDefault="00BC2068" w:rsidP="00616617">
      <w:pPr>
        <w:widowControl w:val="0"/>
        <w:rPr>
          <w:rFonts w:ascii="Arial" w:eastAsia="Calibri" w:hAnsi="Arial" w:cs="Arial"/>
          <w:lang w:eastAsia="en-US"/>
        </w:rPr>
      </w:pPr>
      <w:r>
        <w:rPr>
          <w:rFonts w:ascii="Arial" w:eastAsia="Calibri" w:hAnsi="Arial" w:cs="Arial"/>
          <w:lang w:eastAsia="en-US"/>
        </w:rPr>
        <w:t>Voor de nieuw-format-beoordelingsverklaringen zijn wijzigingen in de huidige Standaard 2400 nodig</w:t>
      </w:r>
      <w:r w:rsidR="0048309D">
        <w:rPr>
          <w:rFonts w:ascii="Arial" w:eastAsia="Calibri" w:hAnsi="Arial" w:cs="Arial"/>
          <w:lang w:eastAsia="en-US"/>
        </w:rPr>
        <w:t>, in de huidige Standaard 2410 niet</w:t>
      </w:r>
      <w:r>
        <w:rPr>
          <w:rFonts w:ascii="Arial" w:eastAsia="Calibri" w:hAnsi="Arial" w:cs="Arial"/>
          <w:lang w:eastAsia="en-US"/>
        </w:rPr>
        <w:t>.</w:t>
      </w:r>
    </w:p>
    <w:p w14:paraId="4B5BEC51" w14:textId="77777777" w:rsidR="00BC2068" w:rsidRDefault="00BC2068" w:rsidP="00616617">
      <w:pPr>
        <w:widowControl w:val="0"/>
        <w:rPr>
          <w:rFonts w:ascii="Arial" w:eastAsia="Calibri" w:hAnsi="Arial" w:cs="Arial"/>
          <w:lang w:eastAsia="en-US"/>
        </w:rPr>
      </w:pPr>
    </w:p>
    <w:p w14:paraId="2085BE70" w14:textId="77777777" w:rsidR="00BC2068" w:rsidRPr="00195D9E" w:rsidRDefault="00BC2068" w:rsidP="00616617">
      <w:pPr>
        <w:widowControl w:val="0"/>
        <w:rPr>
          <w:rFonts w:ascii="Arial" w:eastAsia="Calibri" w:hAnsi="Arial" w:cs="Arial"/>
          <w:b/>
          <w:bCs/>
          <w:lang w:eastAsia="en-US"/>
        </w:rPr>
      </w:pPr>
      <w:r w:rsidRPr="00195D9E">
        <w:rPr>
          <w:rFonts w:ascii="Arial" w:eastAsia="Calibri" w:hAnsi="Arial" w:cs="Arial"/>
          <w:b/>
          <w:bCs/>
          <w:lang w:eastAsia="en-US"/>
        </w:rPr>
        <w:t>Randvoorwaarden om Standaard 2400 te wijzigen</w:t>
      </w:r>
    </w:p>
    <w:p w14:paraId="45E78E74" w14:textId="67A1D0DC" w:rsidR="00BC2068" w:rsidRDefault="00BC2068" w:rsidP="00195D9E">
      <w:pPr>
        <w:widowControl w:val="0"/>
        <w:numPr>
          <w:ilvl w:val="0"/>
          <w:numId w:val="14"/>
        </w:numPr>
        <w:rPr>
          <w:rFonts w:ascii="Arial" w:eastAsia="Calibri" w:hAnsi="Arial" w:cs="Arial"/>
          <w:lang w:eastAsia="en-US"/>
        </w:rPr>
      </w:pPr>
      <w:r>
        <w:rPr>
          <w:rFonts w:ascii="Arial" w:eastAsia="Calibri" w:hAnsi="Arial" w:cs="Arial"/>
          <w:lang w:eastAsia="en-US"/>
        </w:rPr>
        <w:t xml:space="preserve">Aansluiting tussen ISRE 2400 en Standaard 2400 </w:t>
      </w:r>
      <w:r w:rsidR="008A7B9D">
        <w:rPr>
          <w:rFonts w:ascii="Arial" w:eastAsia="Calibri" w:hAnsi="Arial" w:cs="Arial"/>
          <w:lang w:eastAsia="en-US"/>
        </w:rPr>
        <w:t xml:space="preserve">zoveel mogelijk </w:t>
      </w:r>
      <w:r>
        <w:rPr>
          <w:rFonts w:ascii="Arial" w:eastAsia="Calibri" w:hAnsi="Arial" w:cs="Arial"/>
          <w:lang w:eastAsia="en-US"/>
        </w:rPr>
        <w:t xml:space="preserve">handhaven. </w:t>
      </w:r>
      <w:r w:rsidR="008A7B9D" w:rsidRPr="008A7B9D">
        <w:rPr>
          <w:rFonts w:ascii="Arial" w:eastAsia="Calibri" w:hAnsi="Arial" w:cs="Arial"/>
          <w:lang w:eastAsia="en-US"/>
        </w:rPr>
        <w:t xml:space="preserve">Waar wijziging van de NL-Standaard 2400 nodig is voor de nieuw-format-beoordelingsverklaringen overeenkomstig de nieuw-format-controleverklaring komen passages als </w:t>
      </w:r>
      <w:r w:rsidR="008A7B9D">
        <w:rPr>
          <w:rFonts w:ascii="Arial" w:eastAsia="Calibri" w:hAnsi="Arial" w:cs="Arial"/>
          <w:lang w:eastAsia="en-US"/>
        </w:rPr>
        <w:t>‘</w:t>
      </w:r>
      <w:r w:rsidR="008A7B9D" w:rsidRPr="008A7B9D">
        <w:rPr>
          <w:rFonts w:ascii="Arial" w:eastAsia="Calibri" w:hAnsi="Arial" w:cs="Arial"/>
          <w:lang w:eastAsia="en-US"/>
        </w:rPr>
        <w:t>niet van toepassing in de Nederlandse situatie</w:t>
      </w:r>
      <w:r w:rsidR="008A7B9D">
        <w:rPr>
          <w:rFonts w:ascii="Arial" w:eastAsia="Calibri" w:hAnsi="Arial" w:cs="Arial"/>
          <w:lang w:eastAsia="en-US"/>
        </w:rPr>
        <w:t>’</w:t>
      </w:r>
      <w:r>
        <w:rPr>
          <w:rFonts w:ascii="Arial" w:eastAsia="Calibri" w:hAnsi="Arial" w:cs="Arial"/>
          <w:lang w:eastAsia="en-US"/>
        </w:rPr>
        <w:t>.</w:t>
      </w:r>
    </w:p>
    <w:p w14:paraId="5F50C1B8" w14:textId="7C46C321" w:rsidR="00BC2068" w:rsidRDefault="00A0268F" w:rsidP="00195D9E">
      <w:pPr>
        <w:widowControl w:val="0"/>
        <w:numPr>
          <w:ilvl w:val="0"/>
          <w:numId w:val="14"/>
        </w:numPr>
        <w:rPr>
          <w:rFonts w:ascii="Arial" w:eastAsia="Calibri" w:hAnsi="Arial" w:cs="Arial"/>
          <w:lang w:eastAsia="en-US"/>
        </w:rPr>
      </w:pPr>
      <w:r>
        <w:rPr>
          <w:rFonts w:ascii="Arial" w:eastAsia="Calibri" w:hAnsi="Arial" w:cs="Arial"/>
          <w:lang w:eastAsia="en-US"/>
        </w:rPr>
        <w:t>Om ervoor te zorgen dat u</w:t>
      </w:r>
      <w:r w:rsidR="00BC2068">
        <w:rPr>
          <w:rFonts w:ascii="Arial" w:eastAsia="Calibri" w:hAnsi="Arial" w:cs="Arial"/>
          <w:lang w:eastAsia="en-US"/>
        </w:rPr>
        <w:t xml:space="preserve">itgebrachte beoordelingsverklaringen </w:t>
      </w:r>
      <w:r>
        <w:rPr>
          <w:rFonts w:ascii="Arial" w:eastAsia="Calibri" w:hAnsi="Arial" w:cs="Arial"/>
          <w:lang w:eastAsia="en-US"/>
        </w:rPr>
        <w:t>blijven</w:t>
      </w:r>
      <w:r w:rsidR="00BC2068">
        <w:rPr>
          <w:rFonts w:ascii="Arial" w:eastAsia="Calibri" w:hAnsi="Arial" w:cs="Arial"/>
          <w:lang w:eastAsia="en-US"/>
        </w:rPr>
        <w:t xml:space="preserve"> voldoen aan de huidige Standaard 2400</w:t>
      </w:r>
      <w:r>
        <w:rPr>
          <w:rFonts w:ascii="Arial" w:eastAsia="Calibri" w:hAnsi="Arial" w:cs="Arial"/>
          <w:lang w:eastAsia="en-US"/>
        </w:rPr>
        <w:t xml:space="preserve"> gaat d</w:t>
      </w:r>
      <w:r w:rsidR="00BC2068">
        <w:rPr>
          <w:rFonts w:ascii="Arial" w:eastAsia="Calibri" w:hAnsi="Arial" w:cs="Arial"/>
          <w:lang w:eastAsia="en-US"/>
        </w:rPr>
        <w:t xml:space="preserve">e </w:t>
      </w:r>
      <w:r>
        <w:rPr>
          <w:rFonts w:ascii="Arial" w:eastAsia="Calibri" w:hAnsi="Arial" w:cs="Arial"/>
          <w:lang w:eastAsia="en-US"/>
        </w:rPr>
        <w:t>gewijzigde</w:t>
      </w:r>
      <w:r w:rsidR="00BC2068">
        <w:rPr>
          <w:rFonts w:ascii="Arial" w:eastAsia="Calibri" w:hAnsi="Arial" w:cs="Arial"/>
          <w:lang w:eastAsia="en-US"/>
        </w:rPr>
        <w:t xml:space="preserve"> Standaard 2400 </w:t>
      </w:r>
      <w:r w:rsidR="0090680C">
        <w:rPr>
          <w:rFonts w:ascii="Arial" w:eastAsia="Calibri" w:hAnsi="Arial" w:cs="Arial"/>
          <w:lang w:eastAsia="en-US"/>
        </w:rPr>
        <w:t xml:space="preserve">gelden voor </w:t>
      </w:r>
      <w:r w:rsidR="008E4038">
        <w:rPr>
          <w:rFonts w:ascii="Arial" w:eastAsia="Calibri" w:hAnsi="Arial" w:cs="Arial"/>
          <w:lang w:eastAsia="en-US"/>
        </w:rPr>
        <w:t xml:space="preserve">toekomstige </w:t>
      </w:r>
      <w:r w:rsidR="0090680C">
        <w:rPr>
          <w:rFonts w:ascii="Arial" w:eastAsia="Calibri" w:hAnsi="Arial" w:cs="Arial"/>
          <w:lang w:eastAsia="en-US"/>
        </w:rPr>
        <w:t>verslagperioden</w:t>
      </w:r>
      <w:r w:rsidR="006E54AC">
        <w:rPr>
          <w:rFonts w:ascii="Arial" w:eastAsia="Calibri" w:hAnsi="Arial" w:cs="Arial"/>
          <w:lang w:eastAsia="en-US"/>
        </w:rPr>
        <w:t>.</w:t>
      </w:r>
    </w:p>
    <w:p w14:paraId="382497EC" w14:textId="77777777" w:rsidR="00BC2068" w:rsidRDefault="00BC2068" w:rsidP="00616617">
      <w:pPr>
        <w:widowControl w:val="0"/>
        <w:rPr>
          <w:rFonts w:ascii="Arial" w:eastAsia="Calibri" w:hAnsi="Arial" w:cs="Arial"/>
          <w:lang w:eastAsia="en-US"/>
        </w:rPr>
      </w:pPr>
    </w:p>
    <w:p w14:paraId="6EE4F7AC" w14:textId="77777777" w:rsidR="002D74C3" w:rsidRDefault="002D74C3" w:rsidP="00616617">
      <w:pPr>
        <w:widowControl w:val="0"/>
        <w:rPr>
          <w:rFonts w:ascii="Arial" w:eastAsia="Calibri" w:hAnsi="Arial" w:cs="Arial"/>
          <w:lang w:eastAsia="en-US"/>
        </w:rPr>
      </w:pPr>
      <w:r>
        <w:rPr>
          <w:rFonts w:ascii="Arial" w:eastAsia="Calibri" w:hAnsi="Arial" w:cs="Arial"/>
          <w:lang w:eastAsia="en-US"/>
        </w:rPr>
        <w:t>In de tabel hierna staat nadere uitleg over:</w:t>
      </w:r>
    </w:p>
    <w:p w14:paraId="60FE7180" w14:textId="77777777" w:rsidR="00BC2068" w:rsidRDefault="002D74C3" w:rsidP="002D74C3">
      <w:pPr>
        <w:widowControl w:val="0"/>
        <w:numPr>
          <w:ilvl w:val="0"/>
          <w:numId w:val="15"/>
        </w:numPr>
        <w:rPr>
          <w:rFonts w:ascii="Arial" w:eastAsia="Calibri" w:hAnsi="Arial" w:cs="Arial"/>
          <w:lang w:eastAsia="en-US"/>
        </w:rPr>
      </w:pPr>
      <w:r>
        <w:rPr>
          <w:rFonts w:ascii="Arial" w:eastAsia="Calibri" w:hAnsi="Arial" w:cs="Arial"/>
          <w:lang w:eastAsia="en-US"/>
        </w:rPr>
        <w:t>de verschillen tussen nieuw-format-beoordelingsverklaringen en voorschriften in de geldende Standaarden 2400 en 2410;</w:t>
      </w:r>
    </w:p>
    <w:p w14:paraId="1C552A9F" w14:textId="77777777" w:rsidR="002D74C3" w:rsidRDefault="002D74C3" w:rsidP="002D74C3">
      <w:pPr>
        <w:widowControl w:val="0"/>
        <w:numPr>
          <w:ilvl w:val="0"/>
          <w:numId w:val="15"/>
        </w:numPr>
        <w:rPr>
          <w:rFonts w:ascii="Arial" w:eastAsia="Calibri" w:hAnsi="Arial" w:cs="Arial"/>
          <w:lang w:eastAsia="en-US"/>
        </w:rPr>
      </w:pPr>
      <w:r>
        <w:rPr>
          <w:rFonts w:ascii="Arial" w:eastAsia="Calibri" w:hAnsi="Arial" w:cs="Arial"/>
          <w:lang w:eastAsia="en-US"/>
        </w:rPr>
        <w:t>eerste voorstellen voor aanpassing van de geldende Standaarden.</w:t>
      </w:r>
    </w:p>
    <w:p w14:paraId="0A50D78D" w14:textId="77777777" w:rsidR="002D74C3" w:rsidRDefault="002D74C3" w:rsidP="00616617">
      <w:pPr>
        <w:widowControl w:val="0"/>
        <w:rPr>
          <w:rFonts w:ascii="Arial" w:eastAsia="Calibri" w:hAnsi="Arial" w:cs="Arial"/>
          <w:lang w:eastAsia="en-US"/>
        </w:rPr>
      </w:pPr>
    </w:p>
    <w:p w14:paraId="5A6A0221" w14:textId="77777777" w:rsidR="00BC2068" w:rsidRDefault="00BC2068" w:rsidP="00616617">
      <w:pPr>
        <w:widowControl w:val="0"/>
        <w:rPr>
          <w:rFonts w:ascii="Arial" w:eastAsia="Calibri" w:hAnsi="Arial" w:cs="Arial"/>
          <w:lang w:eastAsia="en-US"/>
        </w:rPr>
        <w:sectPr w:rsidR="00BC2068" w:rsidSect="0061661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247" w:bottom="1247" w:left="1418" w:header="1077" w:footer="709" w:gutter="0"/>
          <w:cols w:space="0"/>
          <w:docGrid w:linePitch="299"/>
        </w:sectPr>
      </w:pPr>
    </w:p>
    <w:p w14:paraId="2FE097E3" w14:textId="77777777" w:rsidR="00616617" w:rsidRDefault="00616617" w:rsidP="00616617">
      <w:pPr>
        <w:widowControl w:val="0"/>
        <w:rPr>
          <w:rFonts w:ascii="Arial" w:eastAsia="Calibri" w:hAnsi="Arial" w:cs="Arial"/>
          <w:lang w:eastAsia="en-US"/>
        </w:rPr>
      </w:pPr>
      <w:r>
        <w:rPr>
          <w:rFonts w:ascii="Arial" w:eastAsia="Calibri" w:hAnsi="Arial" w:cs="Arial"/>
          <w:lang w:eastAsia="en-US"/>
        </w:rPr>
        <w:lastRenderedPageBreak/>
        <w:t>Nadere toelichting</w:t>
      </w:r>
      <w:r w:rsidR="00B11450">
        <w:rPr>
          <w:rFonts w:ascii="Arial" w:eastAsia="Calibri" w:hAnsi="Arial" w:cs="Arial"/>
          <w:lang w:eastAsia="en-US"/>
        </w:rPr>
        <w:t>: zie onderstaande tabel.</w:t>
      </w:r>
    </w:p>
    <w:p w14:paraId="562FA885" w14:textId="77777777" w:rsidR="00D91AEE" w:rsidRDefault="00D91AEE" w:rsidP="00D91AEE">
      <w:pPr>
        <w:widowControl w:val="0"/>
        <w:rPr>
          <w:rFonts w:ascii="Arial" w:hAnsi="Arial" w:cs="Arial"/>
          <w:sz w:val="18"/>
          <w:szCs w:val="18"/>
          <w:lang w:eastAsia="en-US"/>
        </w:rPr>
      </w:pPr>
      <w:r>
        <w:rPr>
          <w:rFonts w:ascii="Arial" w:hAnsi="Arial" w:cs="Arial"/>
          <w:sz w:val="18"/>
          <w:szCs w:val="18"/>
          <w:lang w:eastAsia="en-US"/>
        </w:rPr>
        <w:t>Start met lezen van de kolom Nieuw-format-beoordelingsverklaring;</w:t>
      </w:r>
    </w:p>
    <w:p w14:paraId="7D60D3F9" w14:textId="77777777" w:rsidR="00D91AEE" w:rsidRDefault="00D91AEE" w:rsidP="00D91AEE">
      <w:pPr>
        <w:widowControl w:val="0"/>
        <w:rPr>
          <w:rFonts w:ascii="Arial" w:hAnsi="Arial" w:cs="Arial"/>
          <w:sz w:val="18"/>
          <w:szCs w:val="18"/>
          <w:lang w:eastAsia="en-US"/>
        </w:rPr>
      </w:pPr>
      <w:r>
        <w:rPr>
          <w:rFonts w:ascii="Arial" w:hAnsi="Arial" w:cs="Arial"/>
          <w:sz w:val="18"/>
          <w:szCs w:val="18"/>
          <w:lang w:eastAsia="en-US"/>
        </w:rPr>
        <w:t>In de kolom links en rechts daarvan staan verschillen tussen de nieuw-format-beoordelingsverklaring en Standaarden 2410 en 2400.</w:t>
      </w:r>
    </w:p>
    <w:p w14:paraId="06B0F99C" w14:textId="77777777" w:rsidR="00D91AEE" w:rsidRDefault="00D91AEE" w:rsidP="00D91AEE">
      <w:pPr>
        <w:widowControl w:val="0"/>
        <w:rPr>
          <w:rFonts w:ascii="Arial" w:hAnsi="Arial" w:cs="Arial"/>
          <w:sz w:val="18"/>
          <w:szCs w:val="18"/>
          <w:lang w:eastAsia="en-US"/>
        </w:rPr>
      </w:pPr>
      <w:r>
        <w:rPr>
          <w:rFonts w:ascii="Arial" w:hAnsi="Arial" w:cs="Arial"/>
          <w:sz w:val="18"/>
          <w:szCs w:val="18"/>
          <w:lang w:eastAsia="en-US"/>
        </w:rPr>
        <w:t>In de rechterkolom staan voorstellen om Standaarden zodanig aan te passen dat de nieuw-format-beoordelingsverklaring daarmee in overeenstemming wordt.</w:t>
      </w:r>
    </w:p>
    <w:p w14:paraId="4E649CC7" w14:textId="77777777" w:rsidR="001E01BF" w:rsidRDefault="001E01BF" w:rsidP="001E01BF">
      <w:pPr>
        <w:widowControl w:val="0"/>
        <w:rPr>
          <w:rFonts w:ascii="Arial" w:eastAsia="Calibri" w:hAnsi="Arial" w:cs="Arial"/>
          <w:lang w:eastAsia="en-US"/>
        </w:rPr>
      </w:pPr>
    </w:p>
    <w:tbl>
      <w:tblPr>
        <w:tblW w:w="15087" w:type="dxa"/>
        <w:tblLook w:val="04A0" w:firstRow="1" w:lastRow="0" w:firstColumn="1" w:lastColumn="0" w:noHBand="0" w:noVBand="1"/>
      </w:tblPr>
      <w:tblGrid>
        <w:gridCol w:w="3578"/>
        <w:gridCol w:w="3402"/>
        <w:gridCol w:w="4252"/>
        <w:gridCol w:w="3855"/>
      </w:tblGrid>
      <w:tr w:rsidR="005B52C3" w:rsidRPr="00113130" w14:paraId="3BA34EAC" w14:textId="77777777" w:rsidTr="1709C3F1">
        <w:tc>
          <w:tcPr>
            <w:tcW w:w="3578" w:type="dxa"/>
            <w:tcBorders>
              <w:top w:val="double" w:sz="4" w:space="0" w:color="auto"/>
              <w:bottom w:val="single" w:sz="4" w:space="0" w:color="auto"/>
            </w:tcBorders>
            <w:shd w:val="clear" w:color="auto" w:fill="auto"/>
          </w:tcPr>
          <w:p w14:paraId="04DF6699"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2410</w:t>
            </w:r>
          </w:p>
        </w:tc>
        <w:tc>
          <w:tcPr>
            <w:tcW w:w="3402" w:type="dxa"/>
            <w:tcBorders>
              <w:top w:val="double" w:sz="4" w:space="0" w:color="auto"/>
              <w:bottom w:val="single" w:sz="4" w:space="0" w:color="auto"/>
            </w:tcBorders>
            <w:shd w:val="clear" w:color="auto" w:fill="auto"/>
          </w:tcPr>
          <w:p w14:paraId="096FA911"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Nieuw-format-beoordelingsverklaring</w:t>
            </w:r>
          </w:p>
        </w:tc>
        <w:tc>
          <w:tcPr>
            <w:tcW w:w="4252" w:type="dxa"/>
            <w:tcBorders>
              <w:top w:val="double" w:sz="4" w:space="0" w:color="auto"/>
              <w:bottom w:val="single" w:sz="4" w:space="0" w:color="auto"/>
            </w:tcBorders>
            <w:shd w:val="clear" w:color="auto" w:fill="auto"/>
          </w:tcPr>
          <w:p w14:paraId="1BB5AE78"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2400</w:t>
            </w:r>
          </w:p>
        </w:tc>
        <w:tc>
          <w:tcPr>
            <w:tcW w:w="3855" w:type="dxa"/>
            <w:tcBorders>
              <w:top w:val="double" w:sz="4" w:space="0" w:color="auto"/>
              <w:bottom w:val="single" w:sz="4" w:space="0" w:color="auto"/>
            </w:tcBorders>
            <w:shd w:val="clear" w:color="auto" w:fill="auto"/>
          </w:tcPr>
          <w:p w14:paraId="23F2FB66"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Voorstellen voor aanpassing Standaarden</w:t>
            </w:r>
          </w:p>
        </w:tc>
      </w:tr>
      <w:tr w:rsidR="005B52C3" w:rsidRPr="00113130" w14:paraId="2C9E2D54" w14:textId="77777777" w:rsidTr="1709C3F1">
        <w:tc>
          <w:tcPr>
            <w:tcW w:w="3578" w:type="dxa"/>
            <w:tcBorders>
              <w:top w:val="single" w:sz="4" w:space="0" w:color="auto"/>
            </w:tcBorders>
            <w:shd w:val="clear" w:color="auto" w:fill="auto"/>
          </w:tcPr>
          <w:p w14:paraId="030DF56E" w14:textId="77777777" w:rsidR="005B52C3" w:rsidRPr="00113130" w:rsidRDefault="005B52C3" w:rsidP="00113130">
            <w:pPr>
              <w:widowControl w:val="0"/>
              <w:rPr>
                <w:rFonts w:ascii="Arial" w:eastAsia="Calibri" w:hAnsi="Arial" w:cs="Arial"/>
                <w:sz w:val="18"/>
                <w:szCs w:val="18"/>
                <w:lang w:eastAsia="en-US"/>
              </w:rPr>
            </w:pPr>
          </w:p>
        </w:tc>
        <w:tc>
          <w:tcPr>
            <w:tcW w:w="3402" w:type="dxa"/>
            <w:tcBorders>
              <w:top w:val="single" w:sz="4" w:space="0" w:color="auto"/>
            </w:tcBorders>
            <w:shd w:val="clear" w:color="auto" w:fill="auto"/>
          </w:tcPr>
          <w:p w14:paraId="498D2160" w14:textId="77777777" w:rsidR="005B52C3" w:rsidRPr="00113130" w:rsidRDefault="005B52C3" w:rsidP="00113130">
            <w:pPr>
              <w:widowControl w:val="0"/>
              <w:rPr>
                <w:rFonts w:ascii="Arial" w:eastAsia="Calibri" w:hAnsi="Arial" w:cs="Arial"/>
                <w:sz w:val="18"/>
                <w:szCs w:val="18"/>
                <w:lang w:eastAsia="en-US"/>
              </w:rPr>
            </w:pPr>
          </w:p>
        </w:tc>
        <w:tc>
          <w:tcPr>
            <w:tcW w:w="4252" w:type="dxa"/>
            <w:tcBorders>
              <w:top w:val="single" w:sz="4" w:space="0" w:color="auto"/>
            </w:tcBorders>
            <w:shd w:val="clear" w:color="auto" w:fill="auto"/>
          </w:tcPr>
          <w:p w14:paraId="4646445B" w14:textId="77777777" w:rsidR="005B52C3" w:rsidRPr="00113130" w:rsidRDefault="005B52C3" w:rsidP="00113130">
            <w:pPr>
              <w:widowControl w:val="0"/>
              <w:rPr>
                <w:rFonts w:ascii="Arial" w:eastAsia="Calibri" w:hAnsi="Arial" w:cs="Arial"/>
                <w:sz w:val="18"/>
                <w:szCs w:val="18"/>
                <w:lang w:eastAsia="en-US"/>
              </w:rPr>
            </w:pPr>
          </w:p>
        </w:tc>
        <w:tc>
          <w:tcPr>
            <w:tcW w:w="3855" w:type="dxa"/>
            <w:tcBorders>
              <w:top w:val="single" w:sz="4" w:space="0" w:color="auto"/>
            </w:tcBorders>
            <w:shd w:val="clear" w:color="auto" w:fill="auto"/>
          </w:tcPr>
          <w:p w14:paraId="10B937CB" w14:textId="77777777" w:rsidR="005B52C3" w:rsidRPr="00113130" w:rsidRDefault="005B52C3" w:rsidP="00113130">
            <w:pPr>
              <w:widowControl w:val="0"/>
              <w:rPr>
                <w:rFonts w:ascii="Arial" w:eastAsia="Calibri" w:hAnsi="Arial" w:cs="Arial"/>
                <w:sz w:val="18"/>
                <w:szCs w:val="18"/>
                <w:lang w:eastAsia="en-US"/>
              </w:rPr>
            </w:pPr>
          </w:p>
        </w:tc>
      </w:tr>
      <w:tr w:rsidR="005B52C3" w:rsidRPr="00113130" w14:paraId="5EDD3EC9" w14:textId="77777777" w:rsidTr="1709C3F1">
        <w:tc>
          <w:tcPr>
            <w:tcW w:w="3578" w:type="dxa"/>
            <w:shd w:val="clear" w:color="auto" w:fill="auto"/>
          </w:tcPr>
          <w:p w14:paraId="4B3DCD67"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St 2410, par. 7, staat als doel van de opdracht: ‘[..] een conclusie te formuleren dat hem, op basis van de uitgevoerde werkzaamheden, niets is gebleken op grond waarvan hij zou moeten concluderen dat de tussentijdse financiële informatie niet, in alle van materieel belang zijnde aspecten, is opgesteld in overeenstemming met het van toepassing zijnde stelsel van financiële verslaggeving’;</w:t>
            </w:r>
          </w:p>
          <w:p w14:paraId="1CFDB2C0" w14:textId="77777777" w:rsidR="005B52C3" w:rsidRPr="00113130" w:rsidRDefault="005B52C3" w:rsidP="00113130">
            <w:pPr>
              <w:widowControl w:val="0"/>
              <w:rPr>
                <w:rFonts w:ascii="Arial" w:eastAsia="Calibri" w:hAnsi="Arial" w:cs="Arial"/>
                <w:sz w:val="18"/>
                <w:szCs w:val="18"/>
                <w:lang w:eastAsia="en-US"/>
              </w:rPr>
            </w:pPr>
          </w:p>
          <w:p w14:paraId="4BBF2A6B"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St 2410, par. 43(i) staat: ‘een conclusie waarin wordt vermeld of de accountant iets ter kennis is gekomen dat erop wijst dat de tussentijdse financiële informatie geen getrouw beeld zou geven, of niet in alle aspecten van materieel belang in overeenstemming met het van toepassing zijnde stelsel van financiële verslaggeving is opgesteld’</w:t>
            </w:r>
          </w:p>
          <w:p w14:paraId="7FCB2D53" w14:textId="77777777" w:rsidR="005B52C3" w:rsidRPr="00113130" w:rsidRDefault="005B52C3" w:rsidP="00113130">
            <w:pPr>
              <w:widowControl w:val="0"/>
              <w:rPr>
                <w:rFonts w:ascii="Arial" w:eastAsia="Calibri" w:hAnsi="Arial" w:cs="Arial"/>
                <w:sz w:val="18"/>
                <w:szCs w:val="18"/>
                <w:lang w:eastAsia="en-US"/>
              </w:rPr>
            </w:pPr>
          </w:p>
          <w:p w14:paraId="3096BCEB"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Hieruit is af te leiden dat voorgeschreven bewoordingen ontbreken.</w:t>
            </w:r>
          </w:p>
          <w:p w14:paraId="21DA4F47"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De conclusie drukt negative assurance uit, maar de formulering kan lijken op par. 7, par. 43(i) of nog anders.</w:t>
            </w:r>
          </w:p>
          <w:p w14:paraId="4F200A58" w14:textId="77777777" w:rsidR="00E2445C" w:rsidRPr="00113130" w:rsidRDefault="00E2445C" w:rsidP="00113130">
            <w:pPr>
              <w:widowControl w:val="0"/>
              <w:rPr>
                <w:rFonts w:ascii="Arial" w:eastAsia="Calibri" w:hAnsi="Arial" w:cs="Arial"/>
                <w:sz w:val="18"/>
                <w:szCs w:val="18"/>
                <w:lang w:eastAsia="en-US"/>
              </w:rPr>
            </w:pPr>
          </w:p>
        </w:tc>
        <w:tc>
          <w:tcPr>
            <w:tcW w:w="3402" w:type="dxa"/>
            <w:shd w:val="clear" w:color="auto" w:fill="auto"/>
          </w:tcPr>
          <w:p w14:paraId="1B39AA9D"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Formulering conclusie in  'Onze conclusie'/'Onze conclusie met beperking'/'Onze afkeurende conclusie':</w:t>
            </w:r>
          </w:p>
          <w:p w14:paraId="0E52F7F2" w14:textId="77777777" w:rsidR="005B52C3" w:rsidRPr="00113130" w:rsidRDefault="005B52C3" w:rsidP="00113130">
            <w:pPr>
              <w:widowControl w:val="0"/>
              <w:rPr>
                <w:rFonts w:ascii="Arial" w:eastAsia="Calibri" w:hAnsi="Arial" w:cs="Arial"/>
                <w:sz w:val="18"/>
                <w:szCs w:val="18"/>
                <w:lang w:eastAsia="en-US"/>
              </w:rPr>
            </w:pPr>
          </w:p>
          <w:p w14:paraId="1FFEA727"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‘Op grond van onze beoordeling hebben wij geen reden om te veronderstellen dat [..]’</w:t>
            </w:r>
          </w:p>
          <w:p w14:paraId="075F4B67" w14:textId="77777777" w:rsidR="005B52C3" w:rsidRDefault="005B52C3" w:rsidP="00113130">
            <w:pPr>
              <w:widowControl w:val="0"/>
              <w:rPr>
                <w:rFonts w:ascii="Arial" w:eastAsia="Calibri" w:hAnsi="Arial" w:cs="Arial"/>
                <w:sz w:val="18"/>
                <w:szCs w:val="18"/>
                <w:lang w:eastAsia="en-US"/>
              </w:rPr>
            </w:pPr>
          </w:p>
          <w:p w14:paraId="6DDC65CA" w14:textId="77777777" w:rsidR="003968B3" w:rsidRDefault="003968B3" w:rsidP="00113130">
            <w:pPr>
              <w:widowControl w:val="0"/>
              <w:rPr>
                <w:rFonts w:ascii="Arial" w:eastAsia="Calibri" w:hAnsi="Arial" w:cs="Arial"/>
                <w:sz w:val="18"/>
                <w:szCs w:val="18"/>
                <w:lang w:eastAsia="en-US"/>
              </w:rPr>
            </w:pPr>
            <w:r>
              <w:rPr>
                <w:rFonts w:ascii="Arial" w:eastAsia="Calibri" w:hAnsi="Arial" w:cs="Arial"/>
                <w:sz w:val="18"/>
                <w:szCs w:val="18"/>
                <w:lang w:eastAsia="en-US"/>
              </w:rPr>
              <w:t>Let op!</w:t>
            </w:r>
          </w:p>
          <w:p w14:paraId="3B39D924" w14:textId="77777777" w:rsidR="003968B3" w:rsidRPr="00113130" w:rsidRDefault="003968B3" w:rsidP="00113130">
            <w:pPr>
              <w:widowControl w:val="0"/>
              <w:rPr>
                <w:rFonts w:ascii="Arial" w:eastAsia="Calibri" w:hAnsi="Arial" w:cs="Arial"/>
                <w:sz w:val="18"/>
                <w:szCs w:val="18"/>
                <w:lang w:eastAsia="en-US"/>
              </w:rPr>
            </w:pPr>
            <w:r>
              <w:rPr>
                <w:rFonts w:ascii="Arial" w:eastAsia="Calibri" w:hAnsi="Arial" w:cs="Arial"/>
                <w:sz w:val="18"/>
                <w:szCs w:val="18"/>
                <w:lang w:eastAsia="en-US"/>
              </w:rPr>
              <w:t xml:space="preserve">In NBA-voorbeeldteksten zijn oud-format-beoordelingsverklaringen met de </w:t>
            </w:r>
            <w:r w:rsidR="00E5146C">
              <w:rPr>
                <w:rFonts w:ascii="Arial" w:eastAsia="Calibri" w:hAnsi="Arial" w:cs="Arial"/>
                <w:sz w:val="18"/>
                <w:szCs w:val="18"/>
                <w:lang w:eastAsia="en-US"/>
              </w:rPr>
              <w:t xml:space="preserve">bovenstaande formulering beschikbaar vanaf </w:t>
            </w:r>
            <w:r w:rsidR="002130D0">
              <w:rPr>
                <w:rFonts w:ascii="Arial" w:eastAsia="Calibri" w:hAnsi="Arial" w:cs="Arial"/>
                <w:sz w:val="18"/>
                <w:szCs w:val="18"/>
                <w:lang w:eastAsia="en-US"/>
              </w:rPr>
              <w:t>augustus 2020.</w:t>
            </w:r>
          </w:p>
        </w:tc>
        <w:tc>
          <w:tcPr>
            <w:tcW w:w="4252" w:type="dxa"/>
            <w:shd w:val="clear" w:color="auto" w:fill="auto"/>
          </w:tcPr>
          <w:p w14:paraId="354BFD24"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huidige standaard staat als vereiste formulering (Standaard 2400, par. 74):</w:t>
            </w:r>
          </w:p>
          <w:p w14:paraId="3F3B175C" w14:textId="77777777" w:rsidR="005B52C3" w:rsidRPr="00113130" w:rsidRDefault="005B52C3" w:rsidP="00113130">
            <w:pPr>
              <w:widowControl w:val="0"/>
              <w:rPr>
                <w:rFonts w:ascii="Arial" w:eastAsia="Calibri" w:hAnsi="Arial" w:cs="Arial"/>
                <w:sz w:val="18"/>
                <w:szCs w:val="18"/>
                <w:lang w:eastAsia="en-US"/>
              </w:rPr>
            </w:pPr>
          </w:p>
          <w:p w14:paraId="58FBF09F"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‘Op grond van onze beoordeling is ons niets gebleken op basis waarvan wij zouden moeten concluderen dat [..]’</w:t>
            </w:r>
          </w:p>
          <w:p w14:paraId="544AF98C" w14:textId="77777777" w:rsidR="005B52C3" w:rsidRPr="00113130" w:rsidRDefault="005B52C3" w:rsidP="00113130">
            <w:pPr>
              <w:widowControl w:val="0"/>
              <w:rPr>
                <w:rFonts w:ascii="Arial" w:eastAsia="Calibri" w:hAnsi="Arial" w:cs="Arial"/>
                <w:sz w:val="18"/>
                <w:szCs w:val="18"/>
                <w:lang w:eastAsia="en-US"/>
              </w:rPr>
            </w:pPr>
          </w:p>
        </w:tc>
        <w:tc>
          <w:tcPr>
            <w:tcW w:w="3855" w:type="dxa"/>
            <w:shd w:val="clear" w:color="auto" w:fill="auto"/>
          </w:tcPr>
          <w:p w14:paraId="5B545E61"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2410: geen aanpassing nodig;</w:t>
            </w:r>
          </w:p>
          <w:p w14:paraId="4EB58601" w14:textId="77777777" w:rsidR="00DA491E" w:rsidRPr="00113130" w:rsidRDefault="00DA491E" w:rsidP="00113130">
            <w:pPr>
              <w:widowControl w:val="0"/>
              <w:rPr>
                <w:rFonts w:ascii="Arial" w:eastAsia="Calibri" w:hAnsi="Arial" w:cs="Arial"/>
                <w:sz w:val="18"/>
                <w:szCs w:val="18"/>
                <w:lang w:eastAsia="en-US"/>
              </w:rPr>
            </w:pPr>
          </w:p>
          <w:p w14:paraId="24E2BB3E" w14:textId="77777777" w:rsidR="00A524D6" w:rsidRPr="00113130" w:rsidRDefault="00A524D6"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2400:</w:t>
            </w:r>
          </w:p>
          <w:p w14:paraId="3B297D8C" w14:textId="77777777" w:rsidR="00CF5FC2" w:rsidRDefault="00CF5FC2" w:rsidP="00CF5FC2">
            <w:pPr>
              <w:widowControl w:val="0"/>
              <w:rPr>
                <w:rFonts w:ascii="Arial" w:eastAsia="Calibri" w:hAnsi="Arial" w:cs="Arial"/>
                <w:sz w:val="18"/>
                <w:szCs w:val="18"/>
                <w:lang w:eastAsia="en-US"/>
              </w:rPr>
            </w:pPr>
            <w:r>
              <w:rPr>
                <w:rFonts w:ascii="Arial" w:eastAsia="Calibri" w:hAnsi="Arial" w:cs="Arial"/>
                <w:sz w:val="18"/>
                <w:szCs w:val="18"/>
                <w:lang w:eastAsia="en-US"/>
              </w:rPr>
              <w:t>Eind 2019/begin 2020 is na uitgebreid beraad tussen gedelegeerde namens SCA en werkgroep Verklaringen gekozen voor de formulering met ‘veronderstellen’.</w:t>
            </w:r>
          </w:p>
          <w:p w14:paraId="2935FC10" w14:textId="041DE5D7" w:rsidR="00A524D6" w:rsidRPr="00113130" w:rsidRDefault="00CF5FC2" w:rsidP="00CF5FC2">
            <w:pPr>
              <w:widowControl w:val="0"/>
              <w:rPr>
                <w:rFonts w:ascii="Arial" w:eastAsia="Calibri" w:hAnsi="Arial" w:cs="Arial"/>
                <w:sz w:val="18"/>
                <w:szCs w:val="18"/>
                <w:lang w:eastAsia="en-US"/>
              </w:rPr>
            </w:pPr>
            <w:r>
              <w:rPr>
                <w:rFonts w:ascii="Arial" w:eastAsia="Calibri" w:hAnsi="Arial" w:cs="Arial"/>
                <w:sz w:val="18"/>
                <w:szCs w:val="18"/>
                <w:lang w:eastAsia="en-US"/>
              </w:rPr>
              <w:t>Destijds is overeengekomen om deze woordkeuze consistent te hanteren bij een aanpassing van Standaard 2400.</w:t>
            </w:r>
          </w:p>
          <w:p w14:paraId="1713B0AE" w14:textId="77777777" w:rsidR="00A524D6" w:rsidRDefault="00EF79FE" w:rsidP="00113130">
            <w:pPr>
              <w:widowControl w:val="0"/>
              <w:rPr>
                <w:rFonts w:ascii="Arial" w:eastAsia="Calibri" w:hAnsi="Arial" w:cs="Arial"/>
                <w:sz w:val="18"/>
                <w:szCs w:val="18"/>
                <w:lang w:eastAsia="en-US"/>
              </w:rPr>
            </w:pPr>
            <w:r>
              <w:rPr>
                <w:rFonts w:ascii="Arial" w:eastAsia="Calibri" w:hAnsi="Arial" w:cs="Arial"/>
                <w:sz w:val="18"/>
                <w:szCs w:val="18"/>
                <w:lang w:eastAsia="en-US"/>
              </w:rPr>
              <w:t>O</w:t>
            </w:r>
            <w:r w:rsidR="004676C8">
              <w:rPr>
                <w:rFonts w:ascii="Arial" w:eastAsia="Calibri" w:hAnsi="Arial" w:cs="Arial"/>
                <w:sz w:val="18"/>
                <w:szCs w:val="18"/>
                <w:lang w:eastAsia="en-US"/>
              </w:rPr>
              <w:t xml:space="preserve">m consistent ‘veronderstellen’ </w:t>
            </w:r>
            <w:r>
              <w:rPr>
                <w:rFonts w:ascii="Arial" w:eastAsia="Calibri" w:hAnsi="Arial" w:cs="Arial"/>
                <w:sz w:val="18"/>
                <w:szCs w:val="18"/>
                <w:lang w:eastAsia="en-US"/>
              </w:rPr>
              <w:t xml:space="preserve">te hanteren voor de formulering van de conclusie </w:t>
            </w:r>
            <w:r w:rsidR="004676C8">
              <w:rPr>
                <w:rFonts w:ascii="Arial" w:eastAsia="Calibri" w:hAnsi="Arial" w:cs="Arial"/>
                <w:sz w:val="18"/>
                <w:szCs w:val="18"/>
                <w:lang w:eastAsia="en-US"/>
              </w:rPr>
              <w:t xml:space="preserve">zijn </w:t>
            </w:r>
            <w:r w:rsidRPr="00113130">
              <w:rPr>
                <w:rFonts w:ascii="Arial" w:eastAsia="Calibri" w:hAnsi="Arial" w:cs="Arial"/>
                <w:sz w:val="18"/>
                <w:szCs w:val="18"/>
                <w:lang w:eastAsia="en-US"/>
              </w:rPr>
              <w:t>aanpassingen</w:t>
            </w:r>
            <w:r>
              <w:rPr>
                <w:rFonts w:ascii="Arial" w:eastAsia="Calibri" w:hAnsi="Arial" w:cs="Arial"/>
                <w:sz w:val="18"/>
                <w:szCs w:val="18"/>
                <w:lang w:eastAsia="en-US"/>
              </w:rPr>
              <w:t xml:space="preserve"> nodig in paragrafen:</w:t>
            </w:r>
          </w:p>
          <w:p w14:paraId="696DC5E5" w14:textId="30A8CDB7" w:rsidR="00EF79FE" w:rsidRDefault="00EF79FE" w:rsidP="00113130">
            <w:pPr>
              <w:widowControl w:val="0"/>
              <w:rPr>
                <w:rFonts w:ascii="Arial" w:eastAsia="Calibri" w:hAnsi="Arial" w:cs="Arial"/>
                <w:sz w:val="18"/>
                <w:szCs w:val="18"/>
                <w:lang w:eastAsia="en-US"/>
              </w:rPr>
            </w:pPr>
            <w:r>
              <w:rPr>
                <w:rFonts w:ascii="Arial" w:eastAsia="Calibri" w:hAnsi="Arial" w:cs="Arial"/>
                <w:sz w:val="18"/>
                <w:szCs w:val="18"/>
                <w:lang w:eastAsia="en-US"/>
              </w:rPr>
              <w:t xml:space="preserve">8, 73, 74(a), 74(b), </w:t>
            </w:r>
            <w:r w:rsidR="002C6D57">
              <w:rPr>
                <w:rFonts w:ascii="Arial" w:eastAsia="Calibri" w:hAnsi="Arial" w:cs="Arial"/>
                <w:sz w:val="18"/>
                <w:szCs w:val="18"/>
                <w:lang w:eastAsia="en-US"/>
              </w:rPr>
              <w:t xml:space="preserve">78(a), 78(b), </w:t>
            </w:r>
            <w:r>
              <w:rPr>
                <w:rFonts w:ascii="Arial" w:eastAsia="Calibri" w:hAnsi="Arial" w:cs="Arial"/>
                <w:sz w:val="18"/>
                <w:szCs w:val="18"/>
                <w:lang w:eastAsia="en-US"/>
              </w:rPr>
              <w:t>83(a), 83(b)</w:t>
            </w:r>
            <w:r w:rsidR="005C5726">
              <w:rPr>
                <w:rFonts w:ascii="Arial" w:eastAsia="Calibri" w:hAnsi="Arial" w:cs="Arial"/>
                <w:sz w:val="18"/>
                <w:szCs w:val="18"/>
                <w:lang w:eastAsia="en-US"/>
              </w:rPr>
              <w:t>.</w:t>
            </w:r>
          </w:p>
          <w:p w14:paraId="4ECE63F3" w14:textId="22AC42B3" w:rsidR="00A524D6" w:rsidRPr="00113130" w:rsidRDefault="00A524D6" w:rsidP="00113130">
            <w:pPr>
              <w:widowControl w:val="0"/>
              <w:rPr>
                <w:rFonts w:ascii="Arial" w:eastAsia="Calibri" w:hAnsi="Arial" w:cs="Arial"/>
                <w:sz w:val="18"/>
                <w:szCs w:val="18"/>
                <w:lang w:eastAsia="en-US"/>
              </w:rPr>
            </w:pPr>
          </w:p>
        </w:tc>
      </w:tr>
      <w:tr w:rsidR="005B52C3" w:rsidRPr="00113130" w14:paraId="354632BA" w14:textId="77777777" w:rsidTr="1709C3F1">
        <w:tc>
          <w:tcPr>
            <w:tcW w:w="3578" w:type="dxa"/>
            <w:shd w:val="clear" w:color="auto" w:fill="auto"/>
          </w:tcPr>
          <w:p w14:paraId="68BE993B" w14:textId="77777777" w:rsidR="00E2445C"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huidige Standaard ontbreekt een bepaling voor de paragraaf Basis voor onze conclusie.</w:t>
            </w:r>
          </w:p>
          <w:p w14:paraId="73096211" w14:textId="77777777" w:rsidR="005B52C3"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Doordat bepalingen ontbreken over een voorgeschreven plaats van andere paragrafen heeft afwezigheid van een bepaling voor een paragraaf 'Basis voor onze conclusie' geen gevolgen.</w:t>
            </w:r>
          </w:p>
        </w:tc>
        <w:tc>
          <w:tcPr>
            <w:tcW w:w="3402" w:type="dxa"/>
            <w:shd w:val="clear" w:color="auto" w:fill="auto"/>
          </w:tcPr>
          <w:p w14:paraId="4A042D1F"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voorbeeldtekst volgt een paragraaf Basis voor onze conclusie bij een goedkeurende conclusie</w:t>
            </w:r>
            <w:r w:rsidR="00E2445C" w:rsidRPr="00113130">
              <w:rPr>
                <w:rFonts w:ascii="Arial" w:eastAsia="Calibri" w:hAnsi="Arial" w:cs="Arial"/>
                <w:sz w:val="18"/>
                <w:szCs w:val="18"/>
                <w:lang w:eastAsia="en-US"/>
              </w:rPr>
              <w:t>.</w:t>
            </w:r>
          </w:p>
          <w:p w14:paraId="1D43DD59" w14:textId="77777777" w:rsidR="00E2445C" w:rsidRPr="00113130" w:rsidRDefault="00E2445C" w:rsidP="00113130">
            <w:pPr>
              <w:widowControl w:val="0"/>
              <w:rPr>
                <w:rFonts w:ascii="Arial" w:eastAsia="Calibri" w:hAnsi="Arial" w:cs="Arial"/>
                <w:sz w:val="18"/>
                <w:szCs w:val="18"/>
                <w:lang w:eastAsia="en-US"/>
              </w:rPr>
            </w:pPr>
          </w:p>
        </w:tc>
        <w:tc>
          <w:tcPr>
            <w:tcW w:w="4252" w:type="dxa"/>
            <w:shd w:val="clear" w:color="auto" w:fill="auto"/>
          </w:tcPr>
          <w:p w14:paraId="4F8F6610"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huidige Standaard ontbreekt een bepaling voor deze paragraaf.</w:t>
            </w:r>
          </w:p>
          <w:p w14:paraId="4B4B5FA2" w14:textId="45879A6E"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Analoog aan de paragraaf Basis voor ons oordeel in de nieuw-format-</w:t>
            </w:r>
            <w:r w:rsidR="005C5726">
              <w:rPr>
                <w:rFonts w:ascii="Arial" w:eastAsia="Calibri" w:hAnsi="Arial" w:cs="Arial"/>
                <w:sz w:val="18"/>
                <w:szCs w:val="18"/>
                <w:lang w:eastAsia="en-US"/>
              </w:rPr>
              <w:t>controle</w:t>
            </w:r>
            <w:r w:rsidRPr="00113130">
              <w:rPr>
                <w:rFonts w:ascii="Arial" w:eastAsia="Calibri" w:hAnsi="Arial" w:cs="Arial"/>
                <w:sz w:val="18"/>
                <w:szCs w:val="18"/>
                <w:lang w:eastAsia="en-US"/>
              </w:rPr>
              <w:t>verklaring is in de voorgestelde NBA Taxonomie 2.1 het taxonomie-element Basis voor de conclusie opgenomen.</w:t>
            </w:r>
          </w:p>
          <w:p w14:paraId="25A0B24E"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Daarin staat een verwijzing naar Standaard 2400, par. 86, maar niet naar een specifieke bepaling, eenvoudig omdat die ontbreekt.</w:t>
            </w:r>
          </w:p>
          <w:p w14:paraId="20E515C2" w14:textId="77777777" w:rsidR="005B52C3" w:rsidRPr="00113130" w:rsidRDefault="005B52C3" w:rsidP="00113130">
            <w:pPr>
              <w:widowControl w:val="0"/>
              <w:rPr>
                <w:rFonts w:ascii="Arial" w:eastAsia="Calibri" w:hAnsi="Arial" w:cs="Arial"/>
                <w:sz w:val="18"/>
                <w:szCs w:val="18"/>
                <w:lang w:eastAsia="en-US"/>
              </w:rPr>
            </w:pPr>
          </w:p>
        </w:tc>
        <w:tc>
          <w:tcPr>
            <w:tcW w:w="3855" w:type="dxa"/>
            <w:shd w:val="clear" w:color="auto" w:fill="auto"/>
          </w:tcPr>
          <w:p w14:paraId="0F806887" w14:textId="77777777" w:rsidR="005B52C3" w:rsidRPr="00113130" w:rsidRDefault="00F2477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2410: geen aanpassing nodig</w:t>
            </w:r>
          </w:p>
          <w:p w14:paraId="4C36CD99" w14:textId="77777777" w:rsidR="00F24773" w:rsidRPr="00113130" w:rsidRDefault="00F2477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2400:</w:t>
            </w:r>
          </w:p>
          <w:p w14:paraId="6D7A3627" w14:textId="7E3C39C9" w:rsidR="00F24773" w:rsidRPr="00113130" w:rsidRDefault="00F2477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Analoog aan St 700</w:t>
            </w:r>
            <w:r w:rsidR="00960F26" w:rsidRPr="00113130">
              <w:rPr>
                <w:rFonts w:ascii="Arial" w:eastAsia="Calibri" w:hAnsi="Arial" w:cs="Arial"/>
                <w:sz w:val="18"/>
                <w:szCs w:val="18"/>
                <w:lang w:eastAsia="en-US"/>
              </w:rPr>
              <w:t>, par. 28</w:t>
            </w:r>
            <w:r w:rsidRPr="00113130">
              <w:rPr>
                <w:rFonts w:ascii="Arial" w:eastAsia="Calibri" w:hAnsi="Arial" w:cs="Arial"/>
                <w:sz w:val="18"/>
                <w:szCs w:val="18"/>
                <w:lang w:eastAsia="en-US"/>
              </w:rPr>
              <w:t xml:space="preserve"> een bepaling opnemen in Standaard 2400</w:t>
            </w:r>
            <w:r w:rsidR="00960F26" w:rsidRPr="00113130">
              <w:rPr>
                <w:rFonts w:ascii="Arial" w:eastAsia="Calibri" w:hAnsi="Arial" w:cs="Arial"/>
                <w:sz w:val="18"/>
                <w:szCs w:val="18"/>
                <w:lang w:eastAsia="en-US"/>
              </w:rPr>
              <w:t xml:space="preserve">, </w:t>
            </w:r>
            <w:r w:rsidR="00E2445C" w:rsidRPr="00113130">
              <w:rPr>
                <w:rFonts w:ascii="Arial" w:eastAsia="Calibri" w:hAnsi="Arial" w:cs="Arial"/>
                <w:sz w:val="18"/>
                <w:szCs w:val="18"/>
                <w:lang w:eastAsia="en-US"/>
              </w:rPr>
              <w:t>b</w:t>
            </w:r>
            <w:r w:rsidR="00960F26" w:rsidRPr="00113130">
              <w:rPr>
                <w:rFonts w:ascii="Arial" w:eastAsia="Calibri" w:hAnsi="Arial" w:cs="Arial"/>
                <w:sz w:val="18"/>
                <w:szCs w:val="18"/>
                <w:lang w:eastAsia="en-US"/>
              </w:rPr>
              <w:t>ijvoorbeeld NL-par. 74B,</w:t>
            </w:r>
            <w:r w:rsidRPr="00113130">
              <w:rPr>
                <w:rFonts w:ascii="Arial" w:eastAsia="Calibri" w:hAnsi="Arial" w:cs="Arial"/>
                <w:sz w:val="18"/>
                <w:szCs w:val="18"/>
                <w:lang w:eastAsia="en-US"/>
              </w:rPr>
              <w:t xml:space="preserve"> om</w:t>
            </w:r>
            <w:r w:rsidR="00657118">
              <w:rPr>
                <w:rFonts w:ascii="Arial" w:eastAsia="Calibri" w:hAnsi="Arial" w:cs="Arial"/>
                <w:sz w:val="18"/>
                <w:szCs w:val="18"/>
                <w:lang w:eastAsia="en-US"/>
              </w:rPr>
              <w:t xml:space="preserve"> ingeval van een goedkeurende conclusie</w:t>
            </w:r>
            <w:r w:rsidRPr="00113130">
              <w:rPr>
                <w:rFonts w:ascii="Arial" w:eastAsia="Calibri" w:hAnsi="Arial" w:cs="Arial"/>
                <w:sz w:val="18"/>
                <w:szCs w:val="18"/>
                <w:lang w:eastAsia="en-US"/>
              </w:rPr>
              <w:t xml:space="preserve"> de paragraaf </w:t>
            </w:r>
            <w:r w:rsidR="00657118">
              <w:rPr>
                <w:rFonts w:ascii="Arial" w:eastAsia="Calibri" w:hAnsi="Arial" w:cs="Arial"/>
                <w:sz w:val="18"/>
                <w:szCs w:val="18"/>
                <w:lang w:eastAsia="en-US"/>
              </w:rPr>
              <w:t>‘</w:t>
            </w:r>
            <w:r w:rsidRPr="00113130">
              <w:rPr>
                <w:rFonts w:ascii="Arial" w:eastAsia="Calibri" w:hAnsi="Arial" w:cs="Arial"/>
                <w:sz w:val="18"/>
                <w:szCs w:val="18"/>
                <w:lang w:eastAsia="en-US"/>
              </w:rPr>
              <w:t>Basis voor de conclusie</w:t>
            </w:r>
            <w:r w:rsidR="00657118">
              <w:rPr>
                <w:rFonts w:ascii="Arial" w:eastAsia="Calibri" w:hAnsi="Arial" w:cs="Arial"/>
                <w:sz w:val="18"/>
                <w:szCs w:val="18"/>
                <w:lang w:eastAsia="en-US"/>
              </w:rPr>
              <w:t>’</w:t>
            </w:r>
            <w:r w:rsidRPr="00113130">
              <w:rPr>
                <w:rFonts w:ascii="Arial" w:eastAsia="Calibri" w:hAnsi="Arial" w:cs="Arial"/>
                <w:sz w:val="18"/>
                <w:szCs w:val="18"/>
                <w:lang w:eastAsia="en-US"/>
              </w:rPr>
              <w:t xml:space="preserve"> in het leven te roepen</w:t>
            </w:r>
            <w:r w:rsidR="00C20BD8" w:rsidRPr="00113130">
              <w:rPr>
                <w:rFonts w:ascii="Arial" w:eastAsia="Calibri" w:hAnsi="Arial" w:cs="Arial"/>
                <w:sz w:val="18"/>
                <w:szCs w:val="18"/>
                <w:lang w:eastAsia="en-US"/>
              </w:rPr>
              <w:t>, direct na de paragraaf over de conclusie</w:t>
            </w:r>
            <w:r w:rsidRPr="00113130">
              <w:rPr>
                <w:rFonts w:ascii="Arial" w:eastAsia="Calibri" w:hAnsi="Arial" w:cs="Arial"/>
                <w:sz w:val="18"/>
                <w:szCs w:val="18"/>
                <w:lang w:eastAsia="en-US"/>
              </w:rPr>
              <w:t>.</w:t>
            </w:r>
          </w:p>
          <w:p w14:paraId="047C72A1" w14:textId="77777777" w:rsidR="004656AB" w:rsidRPr="00113130" w:rsidRDefault="004656AB" w:rsidP="00113130">
            <w:pPr>
              <w:widowControl w:val="0"/>
              <w:rPr>
                <w:rFonts w:ascii="Arial" w:eastAsia="Calibri" w:hAnsi="Arial" w:cs="Arial"/>
                <w:sz w:val="18"/>
                <w:szCs w:val="18"/>
                <w:lang w:eastAsia="en-US"/>
              </w:rPr>
            </w:pPr>
          </w:p>
        </w:tc>
      </w:tr>
      <w:tr w:rsidR="005B52C3" w:rsidRPr="00113130" w14:paraId="13F27D5E" w14:textId="77777777" w:rsidTr="1709C3F1">
        <w:tc>
          <w:tcPr>
            <w:tcW w:w="3578" w:type="dxa"/>
            <w:shd w:val="clear" w:color="auto" w:fill="auto"/>
          </w:tcPr>
          <w:p w14:paraId="6114D1CD" w14:textId="77777777" w:rsidR="00E2445C"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lastRenderedPageBreak/>
              <w:t>In St 2410 ontbreekt een voorgeschreven volgorde.</w:t>
            </w:r>
          </w:p>
          <w:p w14:paraId="76C18334" w14:textId="77777777" w:rsidR="005B52C3"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Geen beletsel vanuit St 2410 voor gekozen volgorde van paragrafen in nieuw-format-beoordelingsverklaring;</w:t>
            </w:r>
          </w:p>
        </w:tc>
        <w:tc>
          <w:tcPr>
            <w:tcW w:w="3402" w:type="dxa"/>
            <w:shd w:val="clear" w:color="auto" w:fill="auto"/>
          </w:tcPr>
          <w:p w14:paraId="78D36B02"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De volgorde van een aangepaste conclusie en de onderbouwing daarvoor</w:t>
            </w:r>
          </w:p>
          <w:p w14:paraId="61BD1526"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voorbeeldtekst volgt een paragraaf Basis voor een aangepaste conclusie na de paragraaf over de aangepaste conclusie.</w:t>
            </w:r>
          </w:p>
        </w:tc>
        <w:tc>
          <w:tcPr>
            <w:tcW w:w="4252" w:type="dxa"/>
            <w:shd w:val="clear" w:color="auto" w:fill="auto"/>
          </w:tcPr>
          <w:p w14:paraId="2DE14286" w14:textId="1ED61E95"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 xml:space="preserve">In de huidige Standaard 2400, par 76(b) staat dat de onderbouwing van de aangepaste conclusie </w:t>
            </w:r>
            <w:r w:rsidR="00657118">
              <w:rPr>
                <w:rFonts w:ascii="Arial" w:eastAsia="Calibri" w:hAnsi="Arial" w:cs="Arial"/>
                <w:sz w:val="18"/>
                <w:szCs w:val="18"/>
                <w:lang w:eastAsia="en-US"/>
              </w:rPr>
              <w:t xml:space="preserve">staat </w:t>
            </w:r>
            <w:r w:rsidRPr="00113130">
              <w:rPr>
                <w:rFonts w:ascii="Arial" w:eastAsia="Calibri" w:hAnsi="Arial" w:cs="Arial"/>
                <w:sz w:val="18"/>
                <w:szCs w:val="18"/>
                <w:lang w:eastAsia="en-US"/>
              </w:rPr>
              <w:t>‘in een aparte paragraaf in de beoordelingsverklaring direct vóór de conclusieparagraaf’</w:t>
            </w:r>
            <w:r w:rsidR="00657118">
              <w:rPr>
                <w:rFonts w:ascii="Arial" w:eastAsia="Calibri" w:hAnsi="Arial" w:cs="Arial"/>
                <w:sz w:val="18"/>
                <w:szCs w:val="18"/>
                <w:lang w:eastAsia="en-US"/>
              </w:rPr>
              <w:t>.</w:t>
            </w:r>
          </w:p>
          <w:p w14:paraId="35C1E1DA" w14:textId="77777777" w:rsidR="005B52C3" w:rsidRPr="00113130" w:rsidRDefault="005B52C3" w:rsidP="00113130">
            <w:pPr>
              <w:widowControl w:val="0"/>
              <w:rPr>
                <w:rFonts w:ascii="Arial" w:eastAsia="Calibri" w:hAnsi="Arial" w:cs="Arial"/>
                <w:sz w:val="18"/>
                <w:szCs w:val="18"/>
                <w:lang w:eastAsia="en-US"/>
              </w:rPr>
            </w:pPr>
          </w:p>
        </w:tc>
        <w:tc>
          <w:tcPr>
            <w:tcW w:w="3855" w:type="dxa"/>
            <w:shd w:val="clear" w:color="auto" w:fill="auto"/>
          </w:tcPr>
          <w:p w14:paraId="6A02337F" w14:textId="77777777" w:rsidR="00C20BD8" w:rsidRPr="00113130" w:rsidRDefault="00C20BD8"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2410: geen aanpassing nodig</w:t>
            </w:r>
          </w:p>
          <w:p w14:paraId="717E7E07" w14:textId="77777777" w:rsidR="00C20BD8" w:rsidRPr="00113130" w:rsidRDefault="00F9CE8E" w:rsidP="00113130">
            <w:pPr>
              <w:widowControl w:val="0"/>
              <w:rPr>
                <w:rFonts w:ascii="Arial" w:eastAsia="Calibri" w:hAnsi="Arial" w:cs="Arial"/>
                <w:sz w:val="18"/>
                <w:szCs w:val="18"/>
                <w:lang w:eastAsia="en-US"/>
              </w:rPr>
            </w:pPr>
            <w:r w:rsidRPr="1709C3F1">
              <w:rPr>
                <w:rFonts w:ascii="Arial" w:eastAsia="Calibri" w:hAnsi="Arial" w:cs="Arial"/>
                <w:sz w:val="18"/>
                <w:szCs w:val="18"/>
                <w:lang w:eastAsia="en-US"/>
              </w:rPr>
              <w:t>St. 2400:</w:t>
            </w:r>
          </w:p>
          <w:p w14:paraId="1CB5CC27" w14:textId="46AE148F" w:rsidR="000B3DAA" w:rsidRPr="00113130" w:rsidRDefault="006E4F28" w:rsidP="000B3DAA">
            <w:pPr>
              <w:widowControl w:val="0"/>
              <w:rPr>
                <w:rFonts w:ascii="Arial" w:eastAsia="Calibri" w:hAnsi="Arial" w:cs="Arial"/>
                <w:sz w:val="18"/>
                <w:szCs w:val="18"/>
                <w:lang w:eastAsia="en-US"/>
              </w:rPr>
            </w:pPr>
            <w:r>
              <w:rPr>
                <w:rFonts w:ascii="Arial" w:eastAsia="Calibri" w:hAnsi="Arial" w:cs="Arial"/>
                <w:sz w:val="18"/>
                <w:szCs w:val="18"/>
                <w:lang w:eastAsia="en-US"/>
              </w:rPr>
              <w:t xml:space="preserve"> Hier is het ondoenlijk de </w:t>
            </w:r>
            <w:r w:rsidRPr="00113130">
              <w:rPr>
                <w:rFonts w:ascii="Arial" w:eastAsia="Calibri" w:hAnsi="Arial" w:cs="Arial"/>
                <w:sz w:val="18"/>
                <w:szCs w:val="18"/>
                <w:lang w:eastAsia="en-US"/>
              </w:rPr>
              <w:t xml:space="preserve">aansluiting met ISRE 2400 par. </w:t>
            </w:r>
            <w:r>
              <w:rPr>
                <w:rFonts w:ascii="Arial" w:eastAsia="Calibri" w:hAnsi="Arial" w:cs="Arial"/>
                <w:sz w:val="18"/>
                <w:szCs w:val="18"/>
                <w:lang w:eastAsia="en-US"/>
              </w:rPr>
              <w:t>76(b)</w:t>
            </w:r>
            <w:r w:rsidRPr="00113130">
              <w:rPr>
                <w:rFonts w:ascii="Arial" w:eastAsia="Calibri" w:hAnsi="Arial" w:cs="Arial"/>
                <w:sz w:val="18"/>
                <w:szCs w:val="18"/>
                <w:lang w:eastAsia="en-US"/>
              </w:rPr>
              <w:t xml:space="preserve"> </w:t>
            </w:r>
            <w:r>
              <w:rPr>
                <w:rFonts w:ascii="Arial" w:eastAsia="Calibri" w:hAnsi="Arial" w:cs="Arial"/>
                <w:sz w:val="18"/>
                <w:szCs w:val="18"/>
                <w:lang w:eastAsia="en-US"/>
              </w:rPr>
              <w:t xml:space="preserve">te </w:t>
            </w:r>
            <w:r w:rsidRPr="00113130">
              <w:rPr>
                <w:rFonts w:ascii="Arial" w:eastAsia="Calibri" w:hAnsi="Arial" w:cs="Arial"/>
                <w:sz w:val="18"/>
                <w:szCs w:val="18"/>
                <w:lang w:eastAsia="en-US"/>
              </w:rPr>
              <w:t>handhaven</w:t>
            </w:r>
            <w:r>
              <w:rPr>
                <w:rFonts w:ascii="Arial" w:eastAsia="Calibri" w:hAnsi="Arial" w:cs="Arial"/>
                <w:sz w:val="18"/>
                <w:szCs w:val="18"/>
                <w:lang w:eastAsia="en-US"/>
              </w:rPr>
              <w:t>. De herziene Standaard 2400 gaat bevatten: ‘niet van toepassing in de Nederlandse situatie’ of woorden van gelijke strekking</w:t>
            </w:r>
            <w:r w:rsidR="000B3DAA" w:rsidRPr="00113130">
              <w:rPr>
                <w:rFonts w:ascii="Arial" w:eastAsia="Calibri" w:hAnsi="Arial" w:cs="Arial"/>
                <w:sz w:val="18"/>
                <w:szCs w:val="18"/>
                <w:lang w:eastAsia="en-US"/>
              </w:rPr>
              <w:t>;</w:t>
            </w:r>
          </w:p>
          <w:p w14:paraId="65D76960" w14:textId="508915B9" w:rsidR="005B52C3" w:rsidRPr="00113130" w:rsidRDefault="000B3DAA" w:rsidP="006E4F28">
            <w:pPr>
              <w:widowControl w:val="0"/>
              <w:rPr>
                <w:rFonts w:ascii="Arial" w:eastAsia="Calibri" w:hAnsi="Arial" w:cs="Arial"/>
                <w:sz w:val="18"/>
                <w:szCs w:val="18"/>
                <w:lang w:eastAsia="en-US"/>
              </w:rPr>
            </w:pPr>
            <w:r w:rsidRPr="00113130">
              <w:rPr>
                <w:rFonts w:ascii="Arial" w:eastAsia="Calibri" w:hAnsi="Arial" w:cs="Arial"/>
                <w:sz w:val="18"/>
                <w:szCs w:val="18"/>
                <w:lang w:eastAsia="en-US"/>
              </w:rPr>
              <w:t xml:space="preserve">In nieuwe NL-par. </w:t>
            </w:r>
            <w:r>
              <w:rPr>
                <w:rFonts w:ascii="Arial" w:eastAsia="Calibri" w:hAnsi="Arial" w:cs="Arial"/>
                <w:sz w:val="18"/>
                <w:szCs w:val="18"/>
                <w:lang w:eastAsia="en-US"/>
              </w:rPr>
              <w:t>76</w:t>
            </w:r>
            <w:r w:rsidRPr="00113130">
              <w:rPr>
                <w:rFonts w:ascii="Arial" w:eastAsia="Calibri" w:hAnsi="Arial" w:cs="Arial"/>
                <w:sz w:val="18"/>
                <w:szCs w:val="18"/>
                <w:lang w:eastAsia="en-US"/>
              </w:rPr>
              <w:t>A</w:t>
            </w:r>
            <w:r w:rsidR="006E4F28">
              <w:rPr>
                <w:rFonts w:ascii="Arial" w:eastAsia="Calibri" w:hAnsi="Arial" w:cs="Arial"/>
                <w:sz w:val="18"/>
                <w:szCs w:val="18"/>
                <w:lang w:eastAsia="en-US"/>
              </w:rPr>
              <w:t xml:space="preserve"> komt de vereiste te staan dat Basis voor aangepaste conclusie volgt na de paragraaf voor de aangepaste conclusie</w:t>
            </w:r>
            <w:r w:rsidR="006023CA">
              <w:rPr>
                <w:rFonts w:ascii="Arial" w:eastAsia="Calibri" w:hAnsi="Arial" w:cs="Arial"/>
                <w:sz w:val="18"/>
                <w:szCs w:val="18"/>
                <w:lang w:eastAsia="en-US"/>
              </w:rPr>
              <w:t>;</w:t>
            </w:r>
          </w:p>
        </w:tc>
      </w:tr>
      <w:tr w:rsidR="005B52C3" w:rsidRPr="00113130" w14:paraId="604FE10D" w14:textId="77777777" w:rsidTr="1709C3F1">
        <w:tc>
          <w:tcPr>
            <w:tcW w:w="3578" w:type="dxa"/>
            <w:shd w:val="clear" w:color="auto" w:fill="auto"/>
          </w:tcPr>
          <w:p w14:paraId="58C02B6E" w14:textId="77777777" w:rsidR="002C6D57" w:rsidRPr="00113130" w:rsidRDefault="002C6D57" w:rsidP="002C6D57">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St 2410 ontbreekt een voorgeschreven volgorde.</w:t>
            </w:r>
          </w:p>
          <w:p w14:paraId="5F4F0236" w14:textId="77777777" w:rsidR="005B52C3" w:rsidRPr="00113130" w:rsidRDefault="002C6D57" w:rsidP="002C6D57">
            <w:pPr>
              <w:widowControl w:val="0"/>
              <w:rPr>
                <w:rFonts w:ascii="Arial" w:eastAsia="Calibri" w:hAnsi="Arial" w:cs="Arial"/>
                <w:sz w:val="18"/>
                <w:szCs w:val="18"/>
                <w:lang w:eastAsia="en-US"/>
              </w:rPr>
            </w:pPr>
            <w:r w:rsidRPr="00113130">
              <w:rPr>
                <w:rFonts w:ascii="Arial" w:eastAsia="Calibri" w:hAnsi="Arial" w:cs="Arial"/>
                <w:sz w:val="18"/>
                <w:szCs w:val="18"/>
                <w:lang w:eastAsia="en-US"/>
              </w:rPr>
              <w:t>Geen beletsel vanuit St 2410 voor gekozen volgorde van paragrafen in nieuw-format-beoordelingsverklaring;</w:t>
            </w:r>
          </w:p>
        </w:tc>
        <w:tc>
          <w:tcPr>
            <w:tcW w:w="3402" w:type="dxa"/>
            <w:shd w:val="clear" w:color="auto" w:fill="auto"/>
          </w:tcPr>
          <w:p w14:paraId="7514B6FE"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De volgorde van de paragraaf met de conclusie en een benadrukkingsparagraaf</w:t>
            </w:r>
          </w:p>
          <w:p w14:paraId="36BD2543"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voorbeeldtekst volgt de benadrukkingsparagraaf na de Basis voor de conclusie.</w:t>
            </w:r>
          </w:p>
        </w:tc>
        <w:tc>
          <w:tcPr>
            <w:tcW w:w="4252" w:type="dxa"/>
            <w:shd w:val="clear" w:color="auto" w:fill="auto"/>
          </w:tcPr>
          <w:p w14:paraId="114B3FE7"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huidige Standaard 2400, par. 89 staat:</w:t>
            </w:r>
          </w:p>
          <w:p w14:paraId="0EDF3C1D"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‘De accountant dient een paragraaf ter benadrukking van bepaalde aangelegenheden op te nemen direct na de paragraaf die de conclusie van de accountant bevat [..]’</w:t>
            </w:r>
          </w:p>
          <w:p w14:paraId="2511EB0B" w14:textId="77777777" w:rsidR="005B52C3" w:rsidRPr="00113130" w:rsidRDefault="005B52C3" w:rsidP="00113130">
            <w:pPr>
              <w:widowControl w:val="0"/>
              <w:rPr>
                <w:rFonts w:ascii="Arial" w:eastAsia="Calibri" w:hAnsi="Arial" w:cs="Arial"/>
                <w:sz w:val="18"/>
                <w:szCs w:val="18"/>
                <w:lang w:eastAsia="en-US"/>
              </w:rPr>
            </w:pPr>
          </w:p>
          <w:p w14:paraId="3B72DBEA" w14:textId="77777777" w:rsidR="005B52C3" w:rsidRPr="00113130" w:rsidRDefault="005B52C3" w:rsidP="00113130">
            <w:pPr>
              <w:widowControl w:val="0"/>
              <w:rPr>
                <w:rFonts w:ascii="Arial" w:eastAsia="Calibri" w:hAnsi="Arial" w:cs="Arial"/>
                <w:sz w:val="18"/>
                <w:szCs w:val="18"/>
                <w:lang w:eastAsia="en-US"/>
              </w:rPr>
            </w:pPr>
          </w:p>
        </w:tc>
        <w:tc>
          <w:tcPr>
            <w:tcW w:w="3855" w:type="dxa"/>
            <w:shd w:val="clear" w:color="auto" w:fill="auto"/>
          </w:tcPr>
          <w:p w14:paraId="406B6E75" w14:textId="77777777" w:rsidR="005B52C3" w:rsidRPr="00113130" w:rsidRDefault="00745804"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2410: geen aanpassing nodig</w:t>
            </w:r>
            <w:r w:rsidR="008F5BDC">
              <w:rPr>
                <w:rFonts w:ascii="Arial" w:eastAsia="Calibri" w:hAnsi="Arial" w:cs="Arial"/>
                <w:sz w:val="18"/>
                <w:szCs w:val="18"/>
                <w:lang w:eastAsia="en-US"/>
              </w:rPr>
              <w:t>;</w:t>
            </w:r>
          </w:p>
          <w:p w14:paraId="74795F29" w14:textId="77777777" w:rsidR="00745804" w:rsidRPr="00113130" w:rsidRDefault="00745804"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2400:</w:t>
            </w:r>
          </w:p>
          <w:p w14:paraId="6F448DDF" w14:textId="1B908038" w:rsidR="00745804" w:rsidRPr="00113130" w:rsidRDefault="006E4F28" w:rsidP="00113130">
            <w:pPr>
              <w:widowControl w:val="0"/>
              <w:rPr>
                <w:rFonts w:ascii="Arial" w:eastAsia="Calibri" w:hAnsi="Arial" w:cs="Arial"/>
                <w:sz w:val="18"/>
                <w:szCs w:val="18"/>
                <w:lang w:eastAsia="en-US"/>
              </w:rPr>
            </w:pPr>
            <w:r>
              <w:rPr>
                <w:rFonts w:ascii="Arial" w:eastAsia="Calibri" w:hAnsi="Arial" w:cs="Arial"/>
                <w:sz w:val="18"/>
                <w:szCs w:val="18"/>
                <w:lang w:eastAsia="en-US"/>
              </w:rPr>
              <w:t xml:space="preserve">Ondoenlijk de </w:t>
            </w:r>
            <w:r w:rsidR="00745804" w:rsidRPr="00113130">
              <w:rPr>
                <w:rFonts w:ascii="Arial" w:eastAsia="Calibri" w:hAnsi="Arial" w:cs="Arial"/>
                <w:sz w:val="18"/>
                <w:szCs w:val="18"/>
                <w:lang w:eastAsia="en-US"/>
              </w:rPr>
              <w:t xml:space="preserve">aansluiting met ISRE 2400 par. 89 </w:t>
            </w:r>
            <w:r>
              <w:rPr>
                <w:rFonts w:ascii="Arial" w:eastAsia="Calibri" w:hAnsi="Arial" w:cs="Arial"/>
                <w:sz w:val="18"/>
                <w:szCs w:val="18"/>
                <w:lang w:eastAsia="en-US"/>
              </w:rPr>
              <w:t xml:space="preserve">te </w:t>
            </w:r>
            <w:r w:rsidR="00745804" w:rsidRPr="00113130">
              <w:rPr>
                <w:rFonts w:ascii="Arial" w:eastAsia="Calibri" w:hAnsi="Arial" w:cs="Arial"/>
                <w:sz w:val="18"/>
                <w:szCs w:val="18"/>
                <w:lang w:eastAsia="en-US"/>
              </w:rPr>
              <w:t>handhaven</w:t>
            </w:r>
            <w:r>
              <w:rPr>
                <w:rFonts w:ascii="Arial" w:eastAsia="Calibri" w:hAnsi="Arial" w:cs="Arial"/>
                <w:sz w:val="18"/>
                <w:szCs w:val="18"/>
                <w:lang w:eastAsia="en-US"/>
              </w:rPr>
              <w:t>. De herziene Standaard 2400 gaat bevatten: ‘niet van toepassing in de Nederlandse situatie’ of woorden van gelijke strekking</w:t>
            </w:r>
            <w:r w:rsidR="00C91E83">
              <w:rPr>
                <w:rFonts w:ascii="Arial" w:eastAsia="Calibri" w:hAnsi="Arial" w:cs="Arial"/>
                <w:sz w:val="18"/>
                <w:szCs w:val="18"/>
                <w:lang w:eastAsia="en-US"/>
              </w:rPr>
              <w:t xml:space="preserve">. In de </w:t>
            </w:r>
            <w:r w:rsidR="00EC64E2">
              <w:rPr>
                <w:rFonts w:ascii="Arial" w:eastAsia="Calibri" w:hAnsi="Arial" w:cs="Arial"/>
                <w:sz w:val="18"/>
                <w:szCs w:val="18"/>
                <w:lang w:eastAsia="en-US"/>
              </w:rPr>
              <w:t>herziene</w:t>
            </w:r>
            <w:r w:rsidR="00C91E83">
              <w:rPr>
                <w:rFonts w:ascii="Arial" w:eastAsia="Calibri" w:hAnsi="Arial" w:cs="Arial"/>
                <w:sz w:val="18"/>
                <w:szCs w:val="18"/>
                <w:lang w:eastAsia="en-US"/>
              </w:rPr>
              <w:t xml:space="preserve"> Standaard in een A-paragraaf vermelden </w:t>
            </w:r>
            <w:r w:rsidR="006023CA">
              <w:rPr>
                <w:rFonts w:ascii="Arial" w:eastAsia="Calibri" w:hAnsi="Arial" w:cs="Arial"/>
                <w:sz w:val="18"/>
                <w:szCs w:val="18"/>
                <w:lang w:eastAsia="en-US"/>
              </w:rPr>
              <w:t xml:space="preserve">op </w:t>
            </w:r>
            <w:r w:rsidR="00C91E83">
              <w:rPr>
                <w:rFonts w:ascii="Arial" w:eastAsia="Calibri" w:hAnsi="Arial" w:cs="Arial"/>
                <w:sz w:val="18"/>
                <w:szCs w:val="18"/>
                <w:lang w:eastAsia="en-US"/>
              </w:rPr>
              <w:t xml:space="preserve">welke plaats een </w:t>
            </w:r>
            <w:r w:rsidR="00717032">
              <w:rPr>
                <w:rFonts w:ascii="Arial" w:eastAsia="Calibri" w:hAnsi="Arial" w:cs="Arial"/>
                <w:sz w:val="18"/>
                <w:szCs w:val="18"/>
                <w:lang w:eastAsia="en-US"/>
              </w:rPr>
              <w:t xml:space="preserve">benadrukkingsparagraaf </w:t>
            </w:r>
            <w:r w:rsidR="00C91E83">
              <w:rPr>
                <w:rFonts w:ascii="Arial" w:eastAsia="Calibri" w:hAnsi="Arial" w:cs="Arial"/>
                <w:sz w:val="18"/>
                <w:szCs w:val="18"/>
                <w:lang w:eastAsia="en-US"/>
              </w:rPr>
              <w:t xml:space="preserve">en een overige-aangelegenheden-paragraaf </w:t>
            </w:r>
            <w:r w:rsidR="00717032">
              <w:rPr>
                <w:rFonts w:ascii="Arial" w:eastAsia="Calibri" w:hAnsi="Arial" w:cs="Arial"/>
                <w:sz w:val="18"/>
                <w:szCs w:val="18"/>
                <w:lang w:eastAsia="en-US"/>
              </w:rPr>
              <w:t>kom</w:t>
            </w:r>
            <w:r w:rsidR="00EC64E2">
              <w:rPr>
                <w:rFonts w:ascii="Arial" w:eastAsia="Calibri" w:hAnsi="Arial" w:cs="Arial"/>
                <w:sz w:val="18"/>
                <w:szCs w:val="18"/>
                <w:lang w:eastAsia="en-US"/>
              </w:rPr>
              <w:t>en</w:t>
            </w:r>
            <w:r w:rsidR="00717032">
              <w:rPr>
                <w:rFonts w:ascii="Arial" w:eastAsia="Calibri" w:hAnsi="Arial" w:cs="Arial"/>
                <w:sz w:val="18"/>
                <w:szCs w:val="18"/>
                <w:lang w:eastAsia="en-US"/>
              </w:rPr>
              <w:t xml:space="preserve"> te staan</w:t>
            </w:r>
            <w:r w:rsidR="00C91E83">
              <w:rPr>
                <w:rFonts w:ascii="Arial" w:eastAsia="Calibri" w:hAnsi="Arial" w:cs="Arial"/>
                <w:sz w:val="18"/>
                <w:szCs w:val="18"/>
                <w:lang w:eastAsia="en-US"/>
              </w:rPr>
              <w:t xml:space="preserve"> volgens de NBA Taxonomie 2.1 en dat dit in een volgende NBA Taxonomie kan veranderen</w:t>
            </w:r>
            <w:r w:rsidR="00745804" w:rsidRPr="00113130">
              <w:rPr>
                <w:rFonts w:ascii="Arial" w:eastAsia="Calibri" w:hAnsi="Arial" w:cs="Arial"/>
                <w:sz w:val="18"/>
                <w:szCs w:val="18"/>
                <w:lang w:eastAsia="en-US"/>
              </w:rPr>
              <w:t>;</w:t>
            </w:r>
          </w:p>
          <w:p w14:paraId="4A66AEE2" w14:textId="77777777" w:rsidR="005953F4" w:rsidRPr="00113130" w:rsidRDefault="005953F4" w:rsidP="00113130">
            <w:pPr>
              <w:widowControl w:val="0"/>
              <w:rPr>
                <w:rFonts w:ascii="Arial" w:eastAsia="Calibri" w:hAnsi="Arial" w:cs="Arial"/>
                <w:sz w:val="18"/>
                <w:szCs w:val="18"/>
                <w:lang w:eastAsia="en-US"/>
              </w:rPr>
            </w:pPr>
          </w:p>
        </w:tc>
      </w:tr>
      <w:tr w:rsidR="00217CDA" w:rsidRPr="00113130" w14:paraId="47416224" w14:textId="77777777" w:rsidTr="1709C3F1">
        <w:tc>
          <w:tcPr>
            <w:tcW w:w="3578" w:type="dxa"/>
            <w:shd w:val="clear" w:color="auto" w:fill="auto"/>
          </w:tcPr>
          <w:p w14:paraId="73799E77" w14:textId="77777777" w:rsidR="00217CDA" w:rsidRPr="00113130" w:rsidRDefault="008F5BDC" w:rsidP="00113130">
            <w:pPr>
              <w:widowControl w:val="0"/>
              <w:rPr>
                <w:rFonts w:ascii="Arial" w:eastAsia="Calibri" w:hAnsi="Arial" w:cs="Arial"/>
                <w:sz w:val="18"/>
                <w:szCs w:val="18"/>
                <w:lang w:eastAsia="en-US"/>
              </w:rPr>
            </w:pPr>
            <w:r>
              <w:rPr>
                <w:rFonts w:ascii="Arial" w:eastAsia="Calibri" w:hAnsi="Arial" w:cs="Arial"/>
                <w:sz w:val="18"/>
                <w:szCs w:val="18"/>
                <w:lang w:eastAsia="en-US"/>
              </w:rPr>
              <w:t>In St 2410 ontbreken voorschriften over verplicht te hanteren teksten of verplicht te hanteren volgorde;</w:t>
            </w:r>
          </w:p>
        </w:tc>
        <w:tc>
          <w:tcPr>
            <w:tcW w:w="3402" w:type="dxa"/>
            <w:shd w:val="clear" w:color="auto" w:fill="auto"/>
          </w:tcPr>
          <w:p w14:paraId="1BC126E8" w14:textId="77777777" w:rsidR="00217CDA" w:rsidRDefault="00D306C1" w:rsidP="00113130">
            <w:pPr>
              <w:widowControl w:val="0"/>
              <w:rPr>
                <w:rFonts w:ascii="Arial" w:eastAsia="Calibri" w:hAnsi="Arial" w:cs="Arial"/>
                <w:sz w:val="18"/>
                <w:szCs w:val="18"/>
                <w:lang w:eastAsia="en-US"/>
              </w:rPr>
            </w:pPr>
            <w:r>
              <w:rPr>
                <w:rFonts w:ascii="Arial" w:eastAsia="Calibri" w:hAnsi="Arial" w:cs="Arial"/>
                <w:sz w:val="18"/>
                <w:szCs w:val="18"/>
                <w:lang w:eastAsia="en-US"/>
              </w:rPr>
              <w:t>P</w:t>
            </w:r>
            <w:r w:rsidR="008F5BDC" w:rsidRPr="008F5BDC">
              <w:rPr>
                <w:rFonts w:ascii="Arial" w:eastAsia="Calibri" w:hAnsi="Arial" w:cs="Arial"/>
                <w:sz w:val="18"/>
                <w:szCs w:val="18"/>
                <w:lang w:eastAsia="en-US"/>
              </w:rPr>
              <w:t>aragrafen over materialiteit, reikwijdte beoordeling van een groep en kernpunten van de beoordeling</w:t>
            </w:r>
            <w:r w:rsidR="008F5BDC">
              <w:rPr>
                <w:rFonts w:ascii="Arial" w:eastAsia="Calibri" w:hAnsi="Arial" w:cs="Arial"/>
                <w:sz w:val="18"/>
                <w:szCs w:val="18"/>
                <w:lang w:eastAsia="en-US"/>
              </w:rPr>
              <w:t xml:space="preserve"> zijn mogelijk.</w:t>
            </w:r>
            <w:r w:rsidR="00901127">
              <w:rPr>
                <w:rFonts w:ascii="Arial" w:eastAsia="Calibri" w:hAnsi="Arial" w:cs="Arial"/>
                <w:sz w:val="18"/>
                <w:szCs w:val="18"/>
                <w:lang w:eastAsia="en-US"/>
              </w:rPr>
              <w:t xml:space="preserve"> Volgorde volgt uit taxonomie NBAT 2.1.</w:t>
            </w:r>
          </w:p>
          <w:p w14:paraId="5BFE4681" w14:textId="77777777" w:rsidR="008F5BDC" w:rsidRPr="00113130" w:rsidRDefault="008F5BDC" w:rsidP="00113130">
            <w:pPr>
              <w:widowControl w:val="0"/>
              <w:rPr>
                <w:rFonts w:ascii="Arial" w:eastAsia="Calibri" w:hAnsi="Arial" w:cs="Arial"/>
                <w:sz w:val="18"/>
                <w:szCs w:val="18"/>
                <w:lang w:eastAsia="en-US"/>
              </w:rPr>
            </w:pPr>
          </w:p>
        </w:tc>
        <w:tc>
          <w:tcPr>
            <w:tcW w:w="4252" w:type="dxa"/>
            <w:shd w:val="clear" w:color="auto" w:fill="auto"/>
          </w:tcPr>
          <w:p w14:paraId="44E3B3DB" w14:textId="77777777" w:rsidR="00217CDA" w:rsidRPr="00113130" w:rsidRDefault="008F5BDC" w:rsidP="00113130">
            <w:pPr>
              <w:widowControl w:val="0"/>
              <w:rPr>
                <w:rFonts w:ascii="Arial" w:eastAsia="Calibri" w:hAnsi="Arial" w:cs="Arial"/>
                <w:sz w:val="18"/>
                <w:szCs w:val="18"/>
                <w:lang w:eastAsia="en-US"/>
              </w:rPr>
            </w:pPr>
            <w:r>
              <w:rPr>
                <w:rFonts w:ascii="Arial" w:eastAsia="Calibri" w:hAnsi="Arial" w:cs="Arial"/>
                <w:sz w:val="18"/>
                <w:szCs w:val="18"/>
                <w:lang w:eastAsia="en-US"/>
              </w:rPr>
              <w:t>In St 2400 ontbreken voorschriften over verplicht te hanteren teksten of verplicht te hanteren volgorde;</w:t>
            </w:r>
          </w:p>
        </w:tc>
        <w:tc>
          <w:tcPr>
            <w:tcW w:w="3855" w:type="dxa"/>
            <w:shd w:val="clear" w:color="auto" w:fill="auto"/>
          </w:tcPr>
          <w:p w14:paraId="6E77AF19" w14:textId="77777777" w:rsidR="008F5BDC" w:rsidRPr="00113130" w:rsidRDefault="008F5BDC" w:rsidP="008F5BDC">
            <w:pPr>
              <w:widowControl w:val="0"/>
              <w:rPr>
                <w:rFonts w:ascii="Arial" w:eastAsia="Calibri" w:hAnsi="Arial" w:cs="Arial"/>
                <w:sz w:val="18"/>
                <w:szCs w:val="18"/>
                <w:lang w:eastAsia="en-US"/>
              </w:rPr>
            </w:pPr>
            <w:r>
              <w:rPr>
                <w:rFonts w:ascii="Arial" w:eastAsia="Calibri" w:hAnsi="Arial" w:cs="Arial"/>
                <w:sz w:val="18"/>
                <w:szCs w:val="18"/>
                <w:lang w:eastAsia="en-US"/>
              </w:rPr>
              <w:t>St 2410:</w:t>
            </w:r>
            <w:r w:rsidRPr="00113130">
              <w:rPr>
                <w:rFonts w:ascii="Arial" w:eastAsia="Calibri" w:hAnsi="Arial" w:cs="Arial"/>
                <w:sz w:val="18"/>
                <w:szCs w:val="18"/>
                <w:lang w:eastAsia="en-US"/>
              </w:rPr>
              <w:t xml:space="preserve"> geen aanpassing nodig</w:t>
            </w:r>
            <w:r>
              <w:rPr>
                <w:rFonts w:ascii="Arial" w:eastAsia="Calibri" w:hAnsi="Arial" w:cs="Arial"/>
                <w:sz w:val="18"/>
                <w:szCs w:val="18"/>
                <w:lang w:eastAsia="en-US"/>
              </w:rPr>
              <w:t>;</w:t>
            </w:r>
          </w:p>
          <w:p w14:paraId="42DD5E6A" w14:textId="15BBD281" w:rsidR="0027479D" w:rsidRDefault="008F5BDC" w:rsidP="00AD2366">
            <w:pPr>
              <w:widowControl w:val="0"/>
              <w:rPr>
                <w:rFonts w:ascii="Arial" w:eastAsia="Calibri" w:hAnsi="Arial" w:cs="Arial"/>
                <w:sz w:val="18"/>
                <w:szCs w:val="18"/>
                <w:lang w:eastAsia="en-US"/>
              </w:rPr>
            </w:pPr>
            <w:r>
              <w:rPr>
                <w:rFonts w:ascii="Arial" w:eastAsia="Calibri" w:hAnsi="Arial" w:cs="Arial"/>
                <w:sz w:val="18"/>
                <w:szCs w:val="18"/>
                <w:lang w:eastAsia="en-US"/>
              </w:rPr>
              <w:t>St 2400:</w:t>
            </w:r>
            <w:r w:rsidRPr="00113130">
              <w:rPr>
                <w:rFonts w:ascii="Arial" w:eastAsia="Calibri" w:hAnsi="Arial" w:cs="Arial"/>
                <w:sz w:val="18"/>
                <w:szCs w:val="18"/>
                <w:lang w:eastAsia="en-US"/>
              </w:rPr>
              <w:t xml:space="preserve"> geen aanpassing nodig</w:t>
            </w:r>
            <w:r w:rsidR="00AD2366">
              <w:rPr>
                <w:rFonts w:ascii="Arial" w:eastAsia="Calibri" w:hAnsi="Arial" w:cs="Arial"/>
                <w:sz w:val="18"/>
                <w:szCs w:val="18"/>
                <w:lang w:eastAsia="en-US"/>
              </w:rPr>
              <w:t>, zie inleiding voorafgaand aan tabel</w:t>
            </w:r>
            <w:r>
              <w:rPr>
                <w:rFonts w:ascii="Arial" w:eastAsia="Calibri" w:hAnsi="Arial" w:cs="Arial"/>
                <w:sz w:val="18"/>
                <w:szCs w:val="18"/>
                <w:lang w:eastAsia="en-US"/>
              </w:rPr>
              <w:t>;</w:t>
            </w:r>
            <w:r w:rsidR="00AD2366" w:rsidDel="00AD2366">
              <w:rPr>
                <w:rFonts w:ascii="Arial" w:eastAsia="Calibri" w:hAnsi="Arial" w:cs="Arial"/>
                <w:sz w:val="18"/>
                <w:szCs w:val="18"/>
                <w:lang w:eastAsia="en-US"/>
              </w:rPr>
              <w:t xml:space="preserve"> </w:t>
            </w:r>
          </w:p>
          <w:p w14:paraId="417BD905" w14:textId="77777777" w:rsidR="0027479D" w:rsidRPr="00113130" w:rsidRDefault="0027479D" w:rsidP="00113130">
            <w:pPr>
              <w:widowControl w:val="0"/>
              <w:rPr>
                <w:rFonts w:ascii="Arial" w:eastAsia="Calibri" w:hAnsi="Arial" w:cs="Arial"/>
                <w:sz w:val="18"/>
                <w:szCs w:val="18"/>
                <w:lang w:eastAsia="en-US"/>
              </w:rPr>
            </w:pPr>
          </w:p>
        </w:tc>
      </w:tr>
      <w:tr w:rsidR="005B52C3" w:rsidRPr="00113130" w14:paraId="5AEC9C71" w14:textId="77777777" w:rsidTr="1709C3F1">
        <w:tc>
          <w:tcPr>
            <w:tcW w:w="3578" w:type="dxa"/>
            <w:shd w:val="clear" w:color="auto" w:fill="auto"/>
          </w:tcPr>
          <w:p w14:paraId="325EEA4D" w14:textId="77777777" w:rsidR="00E2445C"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Par. 43(g) (vet) beoordeling uitgevoerd iom St 2410, beoordeling bestaat uit het inwinnen van inlichtingen, met name bij personen die verantwoordelijk zijn voor financiën en verslaggeving, en het uitvoeren van cijferanalyses en andere beoordelingswerkzaamheden;</w:t>
            </w:r>
          </w:p>
          <w:p w14:paraId="7E4F6309" w14:textId="77777777" w:rsidR="00E2445C" w:rsidRPr="00113130" w:rsidRDefault="00E2445C" w:rsidP="00113130">
            <w:pPr>
              <w:widowControl w:val="0"/>
              <w:rPr>
                <w:rFonts w:ascii="Arial" w:eastAsia="Calibri" w:hAnsi="Arial" w:cs="Arial"/>
                <w:sz w:val="18"/>
                <w:szCs w:val="18"/>
                <w:lang w:eastAsia="en-US"/>
              </w:rPr>
            </w:pPr>
          </w:p>
          <w:p w14:paraId="46975305" w14:textId="77777777" w:rsidR="00E2445C"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Par. 43(h) (vet) reikwijdte aanzienlijk geringer dan die van controle, geen controleverklaring uitbrengen;</w:t>
            </w:r>
          </w:p>
          <w:p w14:paraId="3658BF4F" w14:textId="77777777" w:rsidR="00E2445C" w:rsidRPr="00113130" w:rsidRDefault="00E2445C" w:rsidP="00113130">
            <w:pPr>
              <w:widowControl w:val="0"/>
              <w:rPr>
                <w:rFonts w:ascii="Arial" w:eastAsia="Calibri" w:hAnsi="Arial" w:cs="Arial"/>
                <w:sz w:val="18"/>
                <w:szCs w:val="18"/>
                <w:lang w:eastAsia="en-US"/>
              </w:rPr>
            </w:pPr>
          </w:p>
          <w:p w14:paraId="05B00109" w14:textId="77777777" w:rsidR="00E2445C"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Commentaar:</w:t>
            </w:r>
          </w:p>
          <w:p w14:paraId="4C2466BF" w14:textId="77777777" w:rsidR="005B52C3"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 xml:space="preserve">Voorschriften ontbreken over </w:t>
            </w:r>
            <w:r w:rsidRPr="00113130">
              <w:rPr>
                <w:rFonts w:ascii="Arial" w:eastAsia="Calibri" w:hAnsi="Arial" w:cs="Arial"/>
                <w:sz w:val="18"/>
                <w:szCs w:val="18"/>
                <w:lang w:eastAsia="en-US"/>
              </w:rPr>
              <w:lastRenderedPageBreak/>
              <w:t>voorgeschreven bewoordingen en over een voorgeschreven plaats voor deze passages;</w:t>
            </w:r>
          </w:p>
        </w:tc>
        <w:tc>
          <w:tcPr>
            <w:tcW w:w="3402" w:type="dxa"/>
            <w:shd w:val="clear" w:color="auto" w:fill="auto"/>
          </w:tcPr>
          <w:p w14:paraId="2B869B3C"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lastRenderedPageBreak/>
              <w:t>Reikwijdte beoordelingsopdracht ten opzichte van controle</w:t>
            </w:r>
          </w:p>
          <w:p w14:paraId="65FE0B36"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In de voorbeeldtekst staat:</w:t>
            </w:r>
          </w:p>
          <w:p w14:paraId="5E00FC38"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‘De mate van zekerheid die wordt verkregen bij een beoordelingsopdracht is aanzienlijk lager dan de zekerheid die wordt verkregen bij een controleopdracht verricht in overeenstemming met de Nederlandse controlestandaarden. Derhalve brengen wij geen controleoordeel tot uitdrukking.’</w:t>
            </w:r>
          </w:p>
        </w:tc>
        <w:tc>
          <w:tcPr>
            <w:tcW w:w="4252" w:type="dxa"/>
            <w:shd w:val="clear" w:color="auto" w:fill="auto"/>
          </w:tcPr>
          <w:p w14:paraId="66D8D5DF"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 xml:space="preserve">In de huidige Standaard 2400, par. 86(g)(iii) staat als vereiste te vermelden in de </w:t>
            </w:r>
            <w:r w:rsidR="00EF3267">
              <w:rPr>
                <w:rFonts w:ascii="Arial" w:eastAsia="Calibri" w:hAnsi="Arial" w:cs="Arial"/>
                <w:sz w:val="18"/>
                <w:szCs w:val="18"/>
                <w:lang w:eastAsia="en-US"/>
              </w:rPr>
              <w:t>beoordelings</w:t>
            </w:r>
            <w:r w:rsidRPr="00113130">
              <w:rPr>
                <w:rFonts w:ascii="Arial" w:eastAsia="Calibri" w:hAnsi="Arial" w:cs="Arial"/>
                <w:sz w:val="18"/>
                <w:szCs w:val="18"/>
                <w:lang w:eastAsia="en-US"/>
              </w:rPr>
              <w:t>verklaring:</w:t>
            </w:r>
          </w:p>
          <w:p w14:paraId="2791AA93" w14:textId="77777777" w:rsidR="005B52C3" w:rsidRPr="00113130" w:rsidRDefault="005B52C3" w:rsidP="00113130">
            <w:pPr>
              <w:widowControl w:val="0"/>
              <w:rPr>
                <w:rFonts w:ascii="Arial" w:eastAsia="Calibri" w:hAnsi="Arial" w:cs="Arial"/>
                <w:sz w:val="18"/>
                <w:szCs w:val="18"/>
                <w:lang w:eastAsia="en-US"/>
              </w:rPr>
            </w:pPr>
          </w:p>
          <w:p w14:paraId="1A4985B9" w14:textId="77777777" w:rsidR="005B52C3" w:rsidRPr="00113130" w:rsidRDefault="005B52C3"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 de werkzaamheden die tijdens een beoordelingsopdracht worden uitgevoerd zijn aanzienlijk minder dan die tijdens een controle die overeenkomstig de controlestandaarden worden uitgevoerd en derhalve brengt de accountant geen controleverklaring over de financiële overzichten tot uitdrukking’</w:t>
            </w:r>
          </w:p>
          <w:p w14:paraId="119BC627" w14:textId="77777777" w:rsidR="005B52C3" w:rsidRPr="00113130" w:rsidRDefault="005B52C3" w:rsidP="00113130">
            <w:pPr>
              <w:widowControl w:val="0"/>
              <w:rPr>
                <w:rFonts w:ascii="Arial" w:eastAsia="Calibri" w:hAnsi="Arial" w:cs="Arial"/>
                <w:sz w:val="18"/>
                <w:szCs w:val="18"/>
                <w:lang w:eastAsia="en-US"/>
              </w:rPr>
            </w:pPr>
          </w:p>
        </w:tc>
        <w:tc>
          <w:tcPr>
            <w:tcW w:w="3855" w:type="dxa"/>
            <w:shd w:val="clear" w:color="auto" w:fill="auto"/>
          </w:tcPr>
          <w:p w14:paraId="200D85A2" w14:textId="77777777" w:rsidR="00E2445C"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2410: geen aanpassing nodig</w:t>
            </w:r>
          </w:p>
          <w:p w14:paraId="41CC6BEC" w14:textId="77777777" w:rsidR="00E2445C" w:rsidRPr="00113130" w:rsidRDefault="00E2445C" w:rsidP="00113130">
            <w:pPr>
              <w:widowControl w:val="0"/>
              <w:rPr>
                <w:rFonts w:ascii="Arial" w:eastAsia="Calibri" w:hAnsi="Arial" w:cs="Arial"/>
                <w:sz w:val="18"/>
                <w:szCs w:val="18"/>
                <w:lang w:eastAsia="en-US"/>
              </w:rPr>
            </w:pPr>
            <w:r w:rsidRPr="00113130">
              <w:rPr>
                <w:rFonts w:ascii="Arial" w:eastAsia="Calibri" w:hAnsi="Arial" w:cs="Arial"/>
                <w:sz w:val="18"/>
                <w:szCs w:val="18"/>
                <w:lang w:eastAsia="en-US"/>
              </w:rPr>
              <w:t>St 2400:</w:t>
            </w:r>
          </w:p>
          <w:p w14:paraId="566FE320" w14:textId="36133133" w:rsidR="00562E85" w:rsidRDefault="00562E85" w:rsidP="00113130">
            <w:pPr>
              <w:widowControl w:val="0"/>
              <w:rPr>
                <w:rFonts w:ascii="Arial" w:eastAsia="Calibri" w:hAnsi="Arial" w:cs="Arial"/>
                <w:sz w:val="18"/>
                <w:szCs w:val="18"/>
                <w:lang w:eastAsia="en-US"/>
              </w:rPr>
            </w:pPr>
            <w:r>
              <w:rPr>
                <w:rFonts w:ascii="Arial" w:eastAsia="Calibri" w:hAnsi="Arial" w:cs="Arial"/>
                <w:sz w:val="18"/>
                <w:szCs w:val="18"/>
                <w:lang w:eastAsia="en-US"/>
              </w:rPr>
              <w:t>Eind 2019/begin 2020 is de huidige voorbeeldtekst in interactie met SCA tot stand gekomen, afwijkend van huidige St 2400, par. 86(g)(ii). De herziene Standaard 2400 gaat bevatten: ‘niet van toepassing in de Nederlandse situatie’ of woorden van gelijke strekking. In nieuwe</w:t>
            </w:r>
            <w:r w:rsidR="00812B10">
              <w:rPr>
                <w:rFonts w:ascii="Arial" w:eastAsia="Calibri" w:hAnsi="Arial" w:cs="Arial"/>
                <w:sz w:val="18"/>
                <w:szCs w:val="18"/>
                <w:lang w:eastAsia="en-US"/>
              </w:rPr>
              <w:t xml:space="preserve"> St in een nieuwe NL-paragraaf als vereiste opnemen </w:t>
            </w:r>
            <w:r w:rsidR="00745B45">
              <w:rPr>
                <w:rFonts w:ascii="Arial" w:eastAsia="Calibri" w:hAnsi="Arial" w:cs="Arial"/>
                <w:sz w:val="18"/>
                <w:szCs w:val="18"/>
                <w:lang w:eastAsia="en-US"/>
              </w:rPr>
              <w:t xml:space="preserve">tot uitdrukking te brengen dat de mate van zekerheid die wordt verkregen door de werkzaamheden bij een beoordelingsopdracht aanzienlijk lager is dan </w:t>
            </w:r>
            <w:r w:rsidR="00745B45">
              <w:rPr>
                <w:rFonts w:ascii="Arial" w:eastAsia="Calibri" w:hAnsi="Arial" w:cs="Arial"/>
                <w:sz w:val="18"/>
                <w:szCs w:val="18"/>
                <w:lang w:eastAsia="en-US"/>
              </w:rPr>
              <w:lastRenderedPageBreak/>
              <w:t>de zekerheid die wordt verkregen bij een controleopdracht in overeenstemming met de Nederlandse controlestandaarden en dat de accountant daarom geen controleoordeel tot uitdrukking brengt</w:t>
            </w:r>
            <w:r w:rsidR="00812B10">
              <w:rPr>
                <w:rFonts w:ascii="Arial" w:eastAsia="Calibri" w:hAnsi="Arial" w:cs="Arial"/>
                <w:sz w:val="18"/>
                <w:szCs w:val="18"/>
                <w:lang w:eastAsia="en-US"/>
              </w:rPr>
              <w:t>.</w:t>
            </w:r>
          </w:p>
          <w:p w14:paraId="5A550EEE" w14:textId="61875423" w:rsidR="00E2445C" w:rsidRPr="00113130" w:rsidRDefault="00E2445C" w:rsidP="00113130">
            <w:pPr>
              <w:widowControl w:val="0"/>
              <w:rPr>
                <w:rFonts w:ascii="Arial" w:eastAsia="Calibri" w:hAnsi="Arial" w:cs="Arial"/>
                <w:sz w:val="18"/>
                <w:szCs w:val="18"/>
                <w:lang w:eastAsia="en-US"/>
              </w:rPr>
            </w:pPr>
          </w:p>
          <w:p w14:paraId="0C2AA445" w14:textId="77777777" w:rsidR="005B52C3" w:rsidRPr="00113130" w:rsidRDefault="005B52C3" w:rsidP="00113130">
            <w:pPr>
              <w:widowControl w:val="0"/>
              <w:rPr>
                <w:rFonts w:ascii="Arial" w:eastAsia="Calibri" w:hAnsi="Arial" w:cs="Arial"/>
                <w:sz w:val="18"/>
                <w:szCs w:val="18"/>
                <w:lang w:eastAsia="en-US"/>
              </w:rPr>
            </w:pPr>
          </w:p>
        </w:tc>
      </w:tr>
      <w:tr w:rsidR="005B52C3" w:rsidRPr="00113130" w14:paraId="71237E4E" w14:textId="77777777" w:rsidTr="1709C3F1">
        <w:tc>
          <w:tcPr>
            <w:tcW w:w="3578" w:type="dxa"/>
            <w:tcBorders>
              <w:bottom w:val="single" w:sz="4" w:space="0" w:color="auto"/>
            </w:tcBorders>
            <w:shd w:val="clear" w:color="auto" w:fill="auto"/>
          </w:tcPr>
          <w:p w14:paraId="423A8FCA" w14:textId="77777777" w:rsidR="005B52C3" w:rsidRPr="00113130" w:rsidRDefault="005B52C3" w:rsidP="00113130">
            <w:pPr>
              <w:widowControl w:val="0"/>
              <w:rPr>
                <w:rFonts w:ascii="Arial" w:eastAsia="Calibri" w:hAnsi="Arial" w:cs="Arial"/>
                <w:sz w:val="18"/>
                <w:szCs w:val="18"/>
                <w:lang w:eastAsia="en-US"/>
              </w:rPr>
            </w:pPr>
          </w:p>
        </w:tc>
        <w:tc>
          <w:tcPr>
            <w:tcW w:w="3402" w:type="dxa"/>
            <w:tcBorders>
              <w:bottom w:val="single" w:sz="4" w:space="0" w:color="auto"/>
            </w:tcBorders>
            <w:shd w:val="clear" w:color="auto" w:fill="auto"/>
          </w:tcPr>
          <w:p w14:paraId="5BAB1212" w14:textId="77777777" w:rsidR="005B52C3" w:rsidRPr="00113130" w:rsidRDefault="005B52C3" w:rsidP="00113130">
            <w:pPr>
              <w:widowControl w:val="0"/>
              <w:rPr>
                <w:rFonts w:ascii="Arial" w:eastAsia="Calibri" w:hAnsi="Arial" w:cs="Arial"/>
                <w:sz w:val="18"/>
                <w:szCs w:val="18"/>
                <w:lang w:eastAsia="en-US"/>
              </w:rPr>
            </w:pPr>
          </w:p>
        </w:tc>
        <w:tc>
          <w:tcPr>
            <w:tcW w:w="4252" w:type="dxa"/>
            <w:tcBorders>
              <w:bottom w:val="single" w:sz="4" w:space="0" w:color="auto"/>
            </w:tcBorders>
            <w:shd w:val="clear" w:color="auto" w:fill="auto"/>
          </w:tcPr>
          <w:p w14:paraId="4CE126A3" w14:textId="77777777" w:rsidR="005B52C3" w:rsidRPr="00113130" w:rsidRDefault="005B52C3" w:rsidP="00113130">
            <w:pPr>
              <w:widowControl w:val="0"/>
              <w:rPr>
                <w:rFonts w:ascii="Arial" w:eastAsia="Calibri" w:hAnsi="Arial" w:cs="Arial"/>
                <w:sz w:val="18"/>
                <w:szCs w:val="18"/>
                <w:lang w:eastAsia="en-US"/>
              </w:rPr>
            </w:pPr>
          </w:p>
        </w:tc>
        <w:tc>
          <w:tcPr>
            <w:tcW w:w="3855" w:type="dxa"/>
            <w:tcBorders>
              <w:bottom w:val="single" w:sz="4" w:space="0" w:color="auto"/>
            </w:tcBorders>
            <w:shd w:val="clear" w:color="auto" w:fill="auto"/>
          </w:tcPr>
          <w:p w14:paraId="74941CD8" w14:textId="77777777" w:rsidR="005B52C3" w:rsidRPr="00113130" w:rsidRDefault="005B52C3" w:rsidP="00113130">
            <w:pPr>
              <w:widowControl w:val="0"/>
              <w:rPr>
                <w:rFonts w:ascii="Arial" w:eastAsia="Calibri" w:hAnsi="Arial" w:cs="Arial"/>
                <w:sz w:val="18"/>
                <w:szCs w:val="18"/>
                <w:lang w:eastAsia="en-US"/>
              </w:rPr>
            </w:pPr>
          </w:p>
        </w:tc>
      </w:tr>
    </w:tbl>
    <w:p w14:paraId="79B16FA4" w14:textId="77777777" w:rsidR="0008088A" w:rsidRPr="00C177C7" w:rsidRDefault="0008088A" w:rsidP="00240D10">
      <w:pPr>
        <w:widowControl w:val="0"/>
        <w:rPr>
          <w:rFonts w:ascii="Arial" w:eastAsia="Calibri" w:hAnsi="Arial" w:cs="Arial"/>
          <w:sz w:val="8"/>
          <w:szCs w:val="8"/>
          <w:lang w:eastAsia="en-US"/>
        </w:rPr>
      </w:pPr>
    </w:p>
    <w:sectPr w:rsidR="0008088A" w:rsidRPr="00C177C7" w:rsidSect="00A17634">
      <w:footnotePr>
        <w:numRestart w:val="eachSect"/>
      </w:footnotePr>
      <w:pgSz w:w="16840" w:h="11907" w:orient="landscape" w:code="9"/>
      <w:pgMar w:top="1134" w:right="1134" w:bottom="1134" w:left="1134" w:header="1077" w:footer="709" w:gutter="0"/>
      <w:cols w:space="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26F0" w14:textId="77777777" w:rsidR="00F40F2A" w:rsidRDefault="00F40F2A">
      <w:r>
        <w:separator/>
      </w:r>
    </w:p>
  </w:endnote>
  <w:endnote w:type="continuationSeparator" w:id="0">
    <w:p w14:paraId="41EC5AF0" w14:textId="77777777" w:rsidR="00F40F2A" w:rsidRDefault="00F4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Light">
    <w:altName w:val="Arial Narrow"/>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B0E6" w14:textId="77777777" w:rsidR="00A43661" w:rsidRDefault="00A436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0395" w14:textId="77777777" w:rsidR="00A43661" w:rsidRDefault="00A436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D88E" w14:textId="77777777" w:rsidR="00A43661" w:rsidRDefault="00A436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4E9C8" w14:textId="77777777" w:rsidR="00F40F2A" w:rsidRDefault="00F40F2A">
      <w:r>
        <w:separator/>
      </w:r>
    </w:p>
  </w:footnote>
  <w:footnote w:type="continuationSeparator" w:id="0">
    <w:p w14:paraId="45DAD367" w14:textId="77777777" w:rsidR="00F40F2A" w:rsidRDefault="00F4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880F" w14:textId="77777777" w:rsidR="00A43661" w:rsidRDefault="00A436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DD76" w14:textId="77777777" w:rsidR="00A43661" w:rsidRDefault="00A436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6E88" w14:textId="77777777" w:rsidR="00A43661" w:rsidRDefault="00A436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AA324A"/>
    <w:multiLevelType w:val="hybridMultilevel"/>
    <w:tmpl w:val="DA14A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E51E74"/>
    <w:multiLevelType w:val="hybridMultilevel"/>
    <w:tmpl w:val="FBF0C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4C6C8D"/>
    <w:multiLevelType w:val="hybridMultilevel"/>
    <w:tmpl w:val="77440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CE6A06"/>
    <w:multiLevelType w:val="hybridMultilevel"/>
    <w:tmpl w:val="871A57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DC03CA7"/>
    <w:multiLevelType w:val="hybridMultilevel"/>
    <w:tmpl w:val="180260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08978D2"/>
    <w:multiLevelType w:val="multilevel"/>
    <w:tmpl w:val="A24E3B42"/>
    <w:numStyleLink w:val="BDOOpsomming"/>
  </w:abstractNum>
  <w:abstractNum w:abstractNumId="7"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8" w15:restartNumberingAfterBreak="0">
    <w:nsid w:val="58975904"/>
    <w:multiLevelType w:val="hybridMultilevel"/>
    <w:tmpl w:val="635C4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CF1747"/>
    <w:multiLevelType w:val="multilevel"/>
    <w:tmpl w:val="55ECB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E1F753B"/>
    <w:multiLevelType w:val="hybridMultilevel"/>
    <w:tmpl w:val="63DE9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C5B90"/>
    <w:multiLevelType w:val="multilevel"/>
    <w:tmpl w:val="BC7EBE4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768E7BB6"/>
    <w:multiLevelType w:val="multilevel"/>
    <w:tmpl w:val="7B3AD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74470556">
    <w:abstractNumId w:val="0"/>
  </w:num>
  <w:num w:numId="2" w16cid:durableId="1882670972">
    <w:abstractNumId w:val="7"/>
  </w:num>
  <w:num w:numId="3" w16cid:durableId="551886204">
    <w:abstractNumId w:val="6"/>
  </w:num>
  <w:num w:numId="4" w16cid:durableId="1187257152">
    <w:abstractNumId w:val="14"/>
  </w:num>
  <w:num w:numId="5" w16cid:durableId="704521464">
    <w:abstractNumId w:val="10"/>
  </w:num>
  <w:num w:numId="6" w16cid:durableId="1972251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4067309">
    <w:abstractNumId w:val="13"/>
  </w:num>
  <w:num w:numId="8" w16cid:durableId="770861829">
    <w:abstractNumId w:val="11"/>
  </w:num>
  <w:num w:numId="9" w16cid:durableId="2063629276">
    <w:abstractNumId w:val="8"/>
  </w:num>
  <w:num w:numId="10" w16cid:durableId="5910607">
    <w:abstractNumId w:val="3"/>
  </w:num>
  <w:num w:numId="11" w16cid:durableId="2018847471">
    <w:abstractNumId w:val="1"/>
  </w:num>
  <w:num w:numId="12" w16cid:durableId="1194655775">
    <w:abstractNumId w:val="9"/>
  </w:num>
  <w:num w:numId="13" w16cid:durableId="1688285995">
    <w:abstractNumId w:val="5"/>
  </w:num>
  <w:num w:numId="14" w16cid:durableId="607662085">
    <w:abstractNumId w:val="2"/>
  </w:num>
  <w:num w:numId="15" w16cid:durableId="174433406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5BEB"/>
    <w:rsid w:val="00006092"/>
    <w:rsid w:val="000068F1"/>
    <w:rsid w:val="000121B6"/>
    <w:rsid w:val="00012980"/>
    <w:rsid w:val="000129C2"/>
    <w:rsid w:val="00012DE3"/>
    <w:rsid w:val="00013763"/>
    <w:rsid w:val="0001646E"/>
    <w:rsid w:val="000176A4"/>
    <w:rsid w:val="0002254F"/>
    <w:rsid w:val="0002428E"/>
    <w:rsid w:val="000253AF"/>
    <w:rsid w:val="000261DF"/>
    <w:rsid w:val="00027C95"/>
    <w:rsid w:val="00032C52"/>
    <w:rsid w:val="00032F69"/>
    <w:rsid w:val="00034659"/>
    <w:rsid w:val="00034EEC"/>
    <w:rsid w:val="00034F3B"/>
    <w:rsid w:val="00037702"/>
    <w:rsid w:val="00042488"/>
    <w:rsid w:val="00042AE9"/>
    <w:rsid w:val="00042B43"/>
    <w:rsid w:val="00045E10"/>
    <w:rsid w:val="00046A8D"/>
    <w:rsid w:val="00052912"/>
    <w:rsid w:val="00052BAA"/>
    <w:rsid w:val="000554CC"/>
    <w:rsid w:val="00055AB9"/>
    <w:rsid w:val="00057905"/>
    <w:rsid w:val="00060FFA"/>
    <w:rsid w:val="000635F4"/>
    <w:rsid w:val="00063BD3"/>
    <w:rsid w:val="0006553A"/>
    <w:rsid w:val="000665A3"/>
    <w:rsid w:val="00070721"/>
    <w:rsid w:val="00070D13"/>
    <w:rsid w:val="0007154B"/>
    <w:rsid w:val="00073368"/>
    <w:rsid w:val="000738E3"/>
    <w:rsid w:val="00073E87"/>
    <w:rsid w:val="00074AF2"/>
    <w:rsid w:val="00075342"/>
    <w:rsid w:val="00076DC2"/>
    <w:rsid w:val="00080120"/>
    <w:rsid w:val="0008088A"/>
    <w:rsid w:val="00081F2E"/>
    <w:rsid w:val="00081FF5"/>
    <w:rsid w:val="000830C3"/>
    <w:rsid w:val="00085E14"/>
    <w:rsid w:val="00086F3D"/>
    <w:rsid w:val="00087C82"/>
    <w:rsid w:val="00090406"/>
    <w:rsid w:val="00093116"/>
    <w:rsid w:val="00093E72"/>
    <w:rsid w:val="000964FF"/>
    <w:rsid w:val="000A0B42"/>
    <w:rsid w:val="000A19B3"/>
    <w:rsid w:val="000A6027"/>
    <w:rsid w:val="000A60FB"/>
    <w:rsid w:val="000A65B6"/>
    <w:rsid w:val="000A791A"/>
    <w:rsid w:val="000B2075"/>
    <w:rsid w:val="000B20E8"/>
    <w:rsid w:val="000B2623"/>
    <w:rsid w:val="000B2DB4"/>
    <w:rsid w:val="000B2FB5"/>
    <w:rsid w:val="000B3718"/>
    <w:rsid w:val="000B3DAA"/>
    <w:rsid w:val="000B7269"/>
    <w:rsid w:val="000C0B5B"/>
    <w:rsid w:val="000C696A"/>
    <w:rsid w:val="000D356A"/>
    <w:rsid w:val="000D47F0"/>
    <w:rsid w:val="000D5701"/>
    <w:rsid w:val="000D7198"/>
    <w:rsid w:val="000D74ED"/>
    <w:rsid w:val="000D773C"/>
    <w:rsid w:val="000E0FA9"/>
    <w:rsid w:val="000E1926"/>
    <w:rsid w:val="000E35B2"/>
    <w:rsid w:val="000E4114"/>
    <w:rsid w:val="000E4619"/>
    <w:rsid w:val="000E652D"/>
    <w:rsid w:val="000E6F26"/>
    <w:rsid w:val="000E7E0F"/>
    <w:rsid w:val="000F1827"/>
    <w:rsid w:val="000F21F9"/>
    <w:rsid w:val="000F282F"/>
    <w:rsid w:val="000F662C"/>
    <w:rsid w:val="001017A3"/>
    <w:rsid w:val="0010273A"/>
    <w:rsid w:val="001029CE"/>
    <w:rsid w:val="00106D7D"/>
    <w:rsid w:val="00107A43"/>
    <w:rsid w:val="00107AF7"/>
    <w:rsid w:val="00111105"/>
    <w:rsid w:val="001111D3"/>
    <w:rsid w:val="00111B36"/>
    <w:rsid w:val="00112673"/>
    <w:rsid w:val="00112BB8"/>
    <w:rsid w:val="00113130"/>
    <w:rsid w:val="00113589"/>
    <w:rsid w:val="00114CDA"/>
    <w:rsid w:val="0011503A"/>
    <w:rsid w:val="0011796C"/>
    <w:rsid w:val="001223D1"/>
    <w:rsid w:val="00122C04"/>
    <w:rsid w:val="001236CF"/>
    <w:rsid w:val="00123872"/>
    <w:rsid w:val="0012390F"/>
    <w:rsid w:val="00123D24"/>
    <w:rsid w:val="0012607F"/>
    <w:rsid w:val="00126362"/>
    <w:rsid w:val="0013096E"/>
    <w:rsid w:val="001313FF"/>
    <w:rsid w:val="00135F31"/>
    <w:rsid w:val="00137C75"/>
    <w:rsid w:val="00141FA3"/>
    <w:rsid w:val="00143A81"/>
    <w:rsid w:val="00146365"/>
    <w:rsid w:val="00146E68"/>
    <w:rsid w:val="001474C1"/>
    <w:rsid w:val="0014772F"/>
    <w:rsid w:val="001477A0"/>
    <w:rsid w:val="001500C7"/>
    <w:rsid w:val="00150A98"/>
    <w:rsid w:val="00152036"/>
    <w:rsid w:val="00154494"/>
    <w:rsid w:val="00155EEF"/>
    <w:rsid w:val="00156178"/>
    <w:rsid w:val="00157959"/>
    <w:rsid w:val="00160160"/>
    <w:rsid w:val="001606B0"/>
    <w:rsid w:val="00160F9C"/>
    <w:rsid w:val="00162A6B"/>
    <w:rsid w:val="00162E31"/>
    <w:rsid w:val="00166904"/>
    <w:rsid w:val="00166A7C"/>
    <w:rsid w:val="00167FC5"/>
    <w:rsid w:val="00172D6D"/>
    <w:rsid w:val="00180478"/>
    <w:rsid w:val="00183217"/>
    <w:rsid w:val="00183EF0"/>
    <w:rsid w:val="00185BBD"/>
    <w:rsid w:val="00186064"/>
    <w:rsid w:val="001874B9"/>
    <w:rsid w:val="00190EEA"/>
    <w:rsid w:val="00191302"/>
    <w:rsid w:val="00192C0D"/>
    <w:rsid w:val="001939DE"/>
    <w:rsid w:val="00193D36"/>
    <w:rsid w:val="00194DD2"/>
    <w:rsid w:val="00195451"/>
    <w:rsid w:val="00195D9E"/>
    <w:rsid w:val="00196336"/>
    <w:rsid w:val="001A02F1"/>
    <w:rsid w:val="001A04E9"/>
    <w:rsid w:val="001A3082"/>
    <w:rsid w:val="001A317C"/>
    <w:rsid w:val="001A32B4"/>
    <w:rsid w:val="001A37FD"/>
    <w:rsid w:val="001A3D96"/>
    <w:rsid w:val="001B2F6E"/>
    <w:rsid w:val="001B32F3"/>
    <w:rsid w:val="001B67B7"/>
    <w:rsid w:val="001C2BDC"/>
    <w:rsid w:val="001C2C01"/>
    <w:rsid w:val="001C3045"/>
    <w:rsid w:val="001C30C4"/>
    <w:rsid w:val="001C5F9F"/>
    <w:rsid w:val="001D0626"/>
    <w:rsid w:val="001D1C2A"/>
    <w:rsid w:val="001D328F"/>
    <w:rsid w:val="001D4F49"/>
    <w:rsid w:val="001D55BA"/>
    <w:rsid w:val="001D775D"/>
    <w:rsid w:val="001E01BF"/>
    <w:rsid w:val="001E02E8"/>
    <w:rsid w:val="001E1BF8"/>
    <w:rsid w:val="001E6CAB"/>
    <w:rsid w:val="001F04AB"/>
    <w:rsid w:val="001F0737"/>
    <w:rsid w:val="001F38DA"/>
    <w:rsid w:val="001F3CAB"/>
    <w:rsid w:val="001F422C"/>
    <w:rsid w:val="001F4C87"/>
    <w:rsid w:val="001F6707"/>
    <w:rsid w:val="00200ACF"/>
    <w:rsid w:val="00201B6A"/>
    <w:rsid w:val="00201C8B"/>
    <w:rsid w:val="002038B1"/>
    <w:rsid w:val="00205706"/>
    <w:rsid w:val="00210096"/>
    <w:rsid w:val="00210E03"/>
    <w:rsid w:val="002130D0"/>
    <w:rsid w:val="00213D68"/>
    <w:rsid w:val="002147B2"/>
    <w:rsid w:val="00215AB8"/>
    <w:rsid w:val="00216722"/>
    <w:rsid w:val="00217123"/>
    <w:rsid w:val="00217CDA"/>
    <w:rsid w:val="00221888"/>
    <w:rsid w:val="002223B1"/>
    <w:rsid w:val="0022343E"/>
    <w:rsid w:val="002245DF"/>
    <w:rsid w:val="00225EF8"/>
    <w:rsid w:val="00227C46"/>
    <w:rsid w:val="00231DB0"/>
    <w:rsid w:val="002327E3"/>
    <w:rsid w:val="00234962"/>
    <w:rsid w:val="00234DEA"/>
    <w:rsid w:val="0023571B"/>
    <w:rsid w:val="00237360"/>
    <w:rsid w:val="00240D10"/>
    <w:rsid w:val="00242B69"/>
    <w:rsid w:val="002443AC"/>
    <w:rsid w:val="00245926"/>
    <w:rsid w:val="00251C3F"/>
    <w:rsid w:val="002529BC"/>
    <w:rsid w:val="002531F3"/>
    <w:rsid w:val="00254052"/>
    <w:rsid w:val="00254157"/>
    <w:rsid w:val="0025606C"/>
    <w:rsid w:val="002618AA"/>
    <w:rsid w:val="00261FFA"/>
    <w:rsid w:val="002641AE"/>
    <w:rsid w:val="00266A3B"/>
    <w:rsid w:val="00270ECA"/>
    <w:rsid w:val="00272FBD"/>
    <w:rsid w:val="00274001"/>
    <w:rsid w:val="0027479D"/>
    <w:rsid w:val="00274E41"/>
    <w:rsid w:val="002753BC"/>
    <w:rsid w:val="002766AD"/>
    <w:rsid w:val="00277EC3"/>
    <w:rsid w:val="00280778"/>
    <w:rsid w:val="0028143D"/>
    <w:rsid w:val="00281B1F"/>
    <w:rsid w:val="00282414"/>
    <w:rsid w:val="002828CC"/>
    <w:rsid w:val="00282A61"/>
    <w:rsid w:val="00283AF4"/>
    <w:rsid w:val="00284EF5"/>
    <w:rsid w:val="0028591F"/>
    <w:rsid w:val="002864FC"/>
    <w:rsid w:val="0028715D"/>
    <w:rsid w:val="002905A0"/>
    <w:rsid w:val="002922C0"/>
    <w:rsid w:val="0029434D"/>
    <w:rsid w:val="0029716F"/>
    <w:rsid w:val="002A04B9"/>
    <w:rsid w:val="002A177C"/>
    <w:rsid w:val="002A419A"/>
    <w:rsid w:val="002A49E6"/>
    <w:rsid w:val="002B0218"/>
    <w:rsid w:val="002B030E"/>
    <w:rsid w:val="002C1482"/>
    <w:rsid w:val="002C192D"/>
    <w:rsid w:val="002C408F"/>
    <w:rsid w:val="002C5876"/>
    <w:rsid w:val="002C6D57"/>
    <w:rsid w:val="002C7280"/>
    <w:rsid w:val="002C7483"/>
    <w:rsid w:val="002D0B3A"/>
    <w:rsid w:val="002D2703"/>
    <w:rsid w:val="002D33D1"/>
    <w:rsid w:val="002D6BFA"/>
    <w:rsid w:val="002D74C3"/>
    <w:rsid w:val="002D7B1A"/>
    <w:rsid w:val="002E1B80"/>
    <w:rsid w:val="002E2EAF"/>
    <w:rsid w:val="002E3C5A"/>
    <w:rsid w:val="002E7CDB"/>
    <w:rsid w:val="002F4938"/>
    <w:rsid w:val="002F5904"/>
    <w:rsid w:val="002F6AFD"/>
    <w:rsid w:val="00303E7C"/>
    <w:rsid w:val="00303FB6"/>
    <w:rsid w:val="003055F6"/>
    <w:rsid w:val="00306027"/>
    <w:rsid w:val="003135D3"/>
    <w:rsid w:val="0031393C"/>
    <w:rsid w:val="00314034"/>
    <w:rsid w:val="00314663"/>
    <w:rsid w:val="0032526A"/>
    <w:rsid w:val="0032657B"/>
    <w:rsid w:val="00330E9B"/>
    <w:rsid w:val="00330EA8"/>
    <w:rsid w:val="0033253C"/>
    <w:rsid w:val="00336C5F"/>
    <w:rsid w:val="00336E29"/>
    <w:rsid w:val="0033735B"/>
    <w:rsid w:val="003376B3"/>
    <w:rsid w:val="0034164A"/>
    <w:rsid w:val="00341D6E"/>
    <w:rsid w:val="00343AB0"/>
    <w:rsid w:val="00344178"/>
    <w:rsid w:val="0034527E"/>
    <w:rsid w:val="003453A9"/>
    <w:rsid w:val="00350C38"/>
    <w:rsid w:val="003552CF"/>
    <w:rsid w:val="0035585D"/>
    <w:rsid w:val="0035764B"/>
    <w:rsid w:val="00357CCE"/>
    <w:rsid w:val="003622BE"/>
    <w:rsid w:val="00363C80"/>
    <w:rsid w:val="003663FD"/>
    <w:rsid w:val="0036715C"/>
    <w:rsid w:val="003676D9"/>
    <w:rsid w:val="003677CB"/>
    <w:rsid w:val="0037200C"/>
    <w:rsid w:val="00372684"/>
    <w:rsid w:val="00372D2E"/>
    <w:rsid w:val="003745D8"/>
    <w:rsid w:val="003753CB"/>
    <w:rsid w:val="00375D76"/>
    <w:rsid w:val="003763E5"/>
    <w:rsid w:val="00381F9F"/>
    <w:rsid w:val="00382825"/>
    <w:rsid w:val="0038649D"/>
    <w:rsid w:val="00386EDE"/>
    <w:rsid w:val="00387665"/>
    <w:rsid w:val="00390180"/>
    <w:rsid w:val="00392B54"/>
    <w:rsid w:val="003958C7"/>
    <w:rsid w:val="003968B3"/>
    <w:rsid w:val="003A2077"/>
    <w:rsid w:val="003A29E5"/>
    <w:rsid w:val="003A3A8A"/>
    <w:rsid w:val="003A488B"/>
    <w:rsid w:val="003A58C3"/>
    <w:rsid w:val="003A6061"/>
    <w:rsid w:val="003A6C93"/>
    <w:rsid w:val="003A6CF3"/>
    <w:rsid w:val="003B0BC5"/>
    <w:rsid w:val="003B4AF8"/>
    <w:rsid w:val="003B4DA6"/>
    <w:rsid w:val="003B677F"/>
    <w:rsid w:val="003C1130"/>
    <w:rsid w:val="003C2519"/>
    <w:rsid w:val="003C342F"/>
    <w:rsid w:val="003D27B4"/>
    <w:rsid w:val="003D3685"/>
    <w:rsid w:val="003D4722"/>
    <w:rsid w:val="003D4893"/>
    <w:rsid w:val="003D5E72"/>
    <w:rsid w:val="003D6F2F"/>
    <w:rsid w:val="003E1056"/>
    <w:rsid w:val="003F0110"/>
    <w:rsid w:val="003F1B2D"/>
    <w:rsid w:val="003F253F"/>
    <w:rsid w:val="003F2A26"/>
    <w:rsid w:val="003F55A7"/>
    <w:rsid w:val="003F70E6"/>
    <w:rsid w:val="003F7EB9"/>
    <w:rsid w:val="004008D0"/>
    <w:rsid w:val="00401345"/>
    <w:rsid w:val="00403038"/>
    <w:rsid w:val="00404993"/>
    <w:rsid w:val="00405CCB"/>
    <w:rsid w:val="00405F5F"/>
    <w:rsid w:val="00406819"/>
    <w:rsid w:val="00410A7E"/>
    <w:rsid w:val="00412EDB"/>
    <w:rsid w:val="00413366"/>
    <w:rsid w:val="00413398"/>
    <w:rsid w:val="0041343B"/>
    <w:rsid w:val="004135C2"/>
    <w:rsid w:val="00414794"/>
    <w:rsid w:val="00415DC1"/>
    <w:rsid w:val="00415EB3"/>
    <w:rsid w:val="00421E9F"/>
    <w:rsid w:val="00424186"/>
    <w:rsid w:val="00426589"/>
    <w:rsid w:val="00434B11"/>
    <w:rsid w:val="00437750"/>
    <w:rsid w:val="00437E27"/>
    <w:rsid w:val="00440929"/>
    <w:rsid w:val="0044368D"/>
    <w:rsid w:val="00444526"/>
    <w:rsid w:val="004523FD"/>
    <w:rsid w:val="00457D00"/>
    <w:rsid w:val="00463E2D"/>
    <w:rsid w:val="004656AB"/>
    <w:rsid w:val="00466686"/>
    <w:rsid w:val="004672E8"/>
    <w:rsid w:val="004675AE"/>
    <w:rsid w:val="004676C8"/>
    <w:rsid w:val="00471E1D"/>
    <w:rsid w:val="004720E4"/>
    <w:rsid w:val="00473E30"/>
    <w:rsid w:val="00474190"/>
    <w:rsid w:val="00476BDA"/>
    <w:rsid w:val="0048309D"/>
    <w:rsid w:val="00485B37"/>
    <w:rsid w:val="00487A09"/>
    <w:rsid w:val="004903F9"/>
    <w:rsid w:val="0049095A"/>
    <w:rsid w:val="00490C23"/>
    <w:rsid w:val="00491417"/>
    <w:rsid w:val="00492195"/>
    <w:rsid w:val="004925B5"/>
    <w:rsid w:val="00492639"/>
    <w:rsid w:val="0049363F"/>
    <w:rsid w:val="004947E9"/>
    <w:rsid w:val="004949C2"/>
    <w:rsid w:val="0049525A"/>
    <w:rsid w:val="00495CEE"/>
    <w:rsid w:val="00497DC4"/>
    <w:rsid w:val="00497E02"/>
    <w:rsid w:val="004A0D0D"/>
    <w:rsid w:val="004A21E2"/>
    <w:rsid w:val="004A2AC5"/>
    <w:rsid w:val="004A35F4"/>
    <w:rsid w:val="004A3E88"/>
    <w:rsid w:val="004A4412"/>
    <w:rsid w:val="004A4784"/>
    <w:rsid w:val="004A56F4"/>
    <w:rsid w:val="004B1764"/>
    <w:rsid w:val="004B2A14"/>
    <w:rsid w:val="004B3155"/>
    <w:rsid w:val="004B5F87"/>
    <w:rsid w:val="004B661E"/>
    <w:rsid w:val="004B6A6D"/>
    <w:rsid w:val="004B6ACE"/>
    <w:rsid w:val="004B6BF6"/>
    <w:rsid w:val="004B7483"/>
    <w:rsid w:val="004B7BA0"/>
    <w:rsid w:val="004B7C97"/>
    <w:rsid w:val="004B7DF2"/>
    <w:rsid w:val="004C1487"/>
    <w:rsid w:val="004C15AE"/>
    <w:rsid w:val="004C2868"/>
    <w:rsid w:val="004C461B"/>
    <w:rsid w:val="004C68D1"/>
    <w:rsid w:val="004C6C32"/>
    <w:rsid w:val="004C73E1"/>
    <w:rsid w:val="004D1522"/>
    <w:rsid w:val="004D2214"/>
    <w:rsid w:val="004D6A61"/>
    <w:rsid w:val="004D6C3C"/>
    <w:rsid w:val="004E08F6"/>
    <w:rsid w:val="004E09DE"/>
    <w:rsid w:val="004E1B3E"/>
    <w:rsid w:val="004F1178"/>
    <w:rsid w:val="004F167B"/>
    <w:rsid w:val="004F1E2F"/>
    <w:rsid w:val="004F4782"/>
    <w:rsid w:val="004F5A24"/>
    <w:rsid w:val="004F5EED"/>
    <w:rsid w:val="00512076"/>
    <w:rsid w:val="0051393F"/>
    <w:rsid w:val="00516072"/>
    <w:rsid w:val="0051642B"/>
    <w:rsid w:val="00521995"/>
    <w:rsid w:val="005237F6"/>
    <w:rsid w:val="00523A52"/>
    <w:rsid w:val="00523C20"/>
    <w:rsid w:val="00524AC1"/>
    <w:rsid w:val="00524C78"/>
    <w:rsid w:val="00525AFC"/>
    <w:rsid w:val="00525E42"/>
    <w:rsid w:val="005328C5"/>
    <w:rsid w:val="00532AD5"/>
    <w:rsid w:val="00533051"/>
    <w:rsid w:val="0053530E"/>
    <w:rsid w:val="00537F21"/>
    <w:rsid w:val="00542129"/>
    <w:rsid w:val="00542F9C"/>
    <w:rsid w:val="00545A0E"/>
    <w:rsid w:val="0054706C"/>
    <w:rsid w:val="0054761C"/>
    <w:rsid w:val="00550DD6"/>
    <w:rsid w:val="005511CE"/>
    <w:rsid w:val="0055341B"/>
    <w:rsid w:val="00553533"/>
    <w:rsid w:val="0055381D"/>
    <w:rsid w:val="00556DAD"/>
    <w:rsid w:val="0056269E"/>
    <w:rsid w:val="00562E85"/>
    <w:rsid w:val="00563D9D"/>
    <w:rsid w:val="00563F37"/>
    <w:rsid w:val="00564AEC"/>
    <w:rsid w:val="005705CE"/>
    <w:rsid w:val="005707A7"/>
    <w:rsid w:val="00572833"/>
    <w:rsid w:val="00572DC5"/>
    <w:rsid w:val="00574FE7"/>
    <w:rsid w:val="00582A11"/>
    <w:rsid w:val="00582DE4"/>
    <w:rsid w:val="00583432"/>
    <w:rsid w:val="00591B57"/>
    <w:rsid w:val="00592704"/>
    <w:rsid w:val="00592DC4"/>
    <w:rsid w:val="00593663"/>
    <w:rsid w:val="00594035"/>
    <w:rsid w:val="005953F4"/>
    <w:rsid w:val="005A1818"/>
    <w:rsid w:val="005A1C78"/>
    <w:rsid w:val="005A1DA2"/>
    <w:rsid w:val="005A3253"/>
    <w:rsid w:val="005A4ADE"/>
    <w:rsid w:val="005A6883"/>
    <w:rsid w:val="005B3434"/>
    <w:rsid w:val="005B52C3"/>
    <w:rsid w:val="005B5B71"/>
    <w:rsid w:val="005B5E18"/>
    <w:rsid w:val="005B6792"/>
    <w:rsid w:val="005C019F"/>
    <w:rsid w:val="005C5726"/>
    <w:rsid w:val="005C5A00"/>
    <w:rsid w:val="005C73F8"/>
    <w:rsid w:val="005D0639"/>
    <w:rsid w:val="005D0B3A"/>
    <w:rsid w:val="005D3390"/>
    <w:rsid w:val="005D34C3"/>
    <w:rsid w:val="005D64E6"/>
    <w:rsid w:val="005D6E97"/>
    <w:rsid w:val="005E011E"/>
    <w:rsid w:val="005E1611"/>
    <w:rsid w:val="005E2BDE"/>
    <w:rsid w:val="005E476F"/>
    <w:rsid w:val="005E4907"/>
    <w:rsid w:val="005E6D7E"/>
    <w:rsid w:val="005E70E4"/>
    <w:rsid w:val="005F08F0"/>
    <w:rsid w:val="005F6202"/>
    <w:rsid w:val="006023CA"/>
    <w:rsid w:val="0060263A"/>
    <w:rsid w:val="006031BC"/>
    <w:rsid w:val="006041F3"/>
    <w:rsid w:val="0060605D"/>
    <w:rsid w:val="0060797E"/>
    <w:rsid w:val="006108EC"/>
    <w:rsid w:val="00616617"/>
    <w:rsid w:val="00622224"/>
    <w:rsid w:val="006236F5"/>
    <w:rsid w:val="00623FF1"/>
    <w:rsid w:val="00627965"/>
    <w:rsid w:val="0063105D"/>
    <w:rsid w:val="00631962"/>
    <w:rsid w:val="00632E0A"/>
    <w:rsid w:val="00634FF4"/>
    <w:rsid w:val="00637406"/>
    <w:rsid w:val="00644F90"/>
    <w:rsid w:val="006458B1"/>
    <w:rsid w:val="0064725E"/>
    <w:rsid w:val="006500FA"/>
    <w:rsid w:val="00651EE2"/>
    <w:rsid w:val="0065220D"/>
    <w:rsid w:val="00654469"/>
    <w:rsid w:val="0065577B"/>
    <w:rsid w:val="00655A41"/>
    <w:rsid w:val="00655C96"/>
    <w:rsid w:val="00655CA1"/>
    <w:rsid w:val="00657118"/>
    <w:rsid w:val="00662074"/>
    <w:rsid w:val="0066253F"/>
    <w:rsid w:val="006636D4"/>
    <w:rsid w:val="006649F6"/>
    <w:rsid w:val="00664C06"/>
    <w:rsid w:val="00665D9D"/>
    <w:rsid w:val="00667858"/>
    <w:rsid w:val="00667A11"/>
    <w:rsid w:val="00673307"/>
    <w:rsid w:val="0067796E"/>
    <w:rsid w:val="006801CD"/>
    <w:rsid w:val="00682FC5"/>
    <w:rsid w:val="00683978"/>
    <w:rsid w:val="00684A19"/>
    <w:rsid w:val="0068744B"/>
    <w:rsid w:val="006903CF"/>
    <w:rsid w:val="00691627"/>
    <w:rsid w:val="00692CE2"/>
    <w:rsid w:val="006942A3"/>
    <w:rsid w:val="00694D00"/>
    <w:rsid w:val="0069522E"/>
    <w:rsid w:val="006955FF"/>
    <w:rsid w:val="006A0454"/>
    <w:rsid w:val="006A5762"/>
    <w:rsid w:val="006A6FEE"/>
    <w:rsid w:val="006B02AE"/>
    <w:rsid w:val="006B4D68"/>
    <w:rsid w:val="006B62D7"/>
    <w:rsid w:val="006B7282"/>
    <w:rsid w:val="006C1410"/>
    <w:rsid w:val="006C1DA2"/>
    <w:rsid w:val="006C1E94"/>
    <w:rsid w:val="006C7430"/>
    <w:rsid w:val="006D1AE9"/>
    <w:rsid w:val="006D2185"/>
    <w:rsid w:val="006D3097"/>
    <w:rsid w:val="006D4731"/>
    <w:rsid w:val="006D4F4C"/>
    <w:rsid w:val="006D4F6D"/>
    <w:rsid w:val="006D53D0"/>
    <w:rsid w:val="006D6486"/>
    <w:rsid w:val="006E2C92"/>
    <w:rsid w:val="006E4CDF"/>
    <w:rsid w:val="006E4F28"/>
    <w:rsid w:val="006E54AC"/>
    <w:rsid w:val="006E6072"/>
    <w:rsid w:val="006E7C86"/>
    <w:rsid w:val="006F02C6"/>
    <w:rsid w:val="006F1C52"/>
    <w:rsid w:val="006F1F90"/>
    <w:rsid w:val="006F3A63"/>
    <w:rsid w:val="006F634F"/>
    <w:rsid w:val="006F6898"/>
    <w:rsid w:val="006F76DF"/>
    <w:rsid w:val="007037D1"/>
    <w:rsid w:val="00703DD7"/>
    <w:rsid w:val="007069A0"/>
    <w:rsid w:val="00707586"/>
    <w:rsid w:val="007107DC"/>
    <w:rsid w:val="00711A9C"/>
    <w:rsid w:val="0071315D"/>
    <w:rsid w:val="007138E1"/>
    <w:rsid w:val="00713C13"/>
    <w:rsid w:val="00713CFC"/>
    <w:rsid w:val="0071561B"/>
    <w:rsid w:val="00715BFB"/>
    <w:rsid w:val="00717032"/>
    <w:rsid w:val="00720641"/>
    <w:rsid w:val="007214DD"/>
    <w:rsid w:val="007220AC"/>
    <w:rsid w:val="007222BB"/>
    <w:rsid w:val="00723D0F"/>
    <w:rsid w:val="00725653"/>
    <w:rsid w:val="0072604B"/>
    <w:rsid w:val="0072641E"/>
    <w:rsid w:val="007264E8"/>
    <w:rsid w:val="0072735C"/>
    <w:rsid w:val="0073180D"/>
    <w:rsid w:val="007321B2"/>
    <w:rsid w:val="007344DD"/>
    <w:rsid w:val="007345B7"/>
    <w:rsid w:val="007358F5"/>
    <w:rsid w:val="007409A8"/>
    <w:rsid w:val="00744F92"/>
    <w:rsid w:val="00745804"/>
    <w:rsid w:val="00745B45"/>
    <w:rsid w:val="0074730E"/>
    <w:rsid w:val="00747B81"/>
    <w:rsid w:val="00747D87"/>
    <w:rsid w:val="0075207A"/>
    <w:rsid w:val="007535AA"/>
    <w:rsid w:val="007537EB"/>
    <w:rsid w:val="00755C4F"/>
    <w:rsid w:val="0076240A"/>
    <w:rsid w:val="00762662"/>
    <w:rsid w:val="0076622F"/>
    <w:rsid w:val="0076704D"/>
    <w:rsid w:val="00767224"/>
    <w:rsid w:val="007672FB"/>
    <w:rsid w:val="00770202"/>
    <w:rsid w:val="007706CD"/>
    <w:rsid w:val="00771031"/>
    <w:rsid w:val="00771F01"/>
    <w:rsid w:val="00772B58"/>
    <w:rsid w:val="00772D5B"/>
    <w:rsid w:val="00774226"/>
    <w:rsid w:val="00774B62"/>
    <w:rsid w:val="007775AB"/>
    <w:rsid w:val="00780ED7"/>
    <w:rsid w:val="00781ED5"/>
    <w:rsid w:val="007820EF"/>
    <w:rsid w:val="00783B1B"/>
    <w:rsid w:val="007904BD"/>
    <w:rsid w:val="00791436"/>
    <w:rsid w:val="007947BC"/>
    <w:rsid w:val="00795C68"/>
    <w:rsid w:val="00796DF2"/>
    <w:rsid w:val="007A053A"/>
    <w:rsid w:val="007A10AD"/>
    <w:rsid w:val="007A2789"/>
    <w:rsid w:val="007A3018"/>
    <w:rsid w:val="007A4469"/>
    <w:rsid w:val="007A5524"/>
    <w:rsid w:val="007A6725"/>
    <w:rsid w:val="007B0974"/>
    <w:rsid w:val="007C13AD"/>
    <w:rsid w:val="007C188F"/>
    <w:rsid w:val="007C20C6"/>
    <w:rsid w:val="007C2CE3"/>
    <w:rsid w:val="007C4928"/>
    <w:rsid w:val="007C57B5"/>
    <w:rsid w:val="007C5BAC"/>
    <w:rsid w:val="007C6343"/>
    <w:rsid w:val="007C6359"/>
    <w:rsid w:val="007D3224"/>
    <w:rsid w:val="007D3CF1"/>
    <w:rsid w:val="007D4307"/>
    <w:rsid w:val="007D51B8"/>
    <w:rsid w:val="007D7D52"/>
    <w:rsid w:val="007E0884"/>
    <w:rsid w:val="007E10FA"/>
    <w:rsid w:val="007E1763"/>
    <w:rsid w:val="007E1819"/>
    <w:rsid w:val="007E18EC"/>
    <w:rsid w:val="007E295B"/>
    <w:rsid w:val="007E7014"/>
    <w:rsid w:val="007F0C0A"/>
    <w:rsid w:val="007F6B5B"/>
    <w:rsid w:val="007F743A"/>
    <w:rsid w:val="007F79FE"/>
    <w:rsid w:val="00800209"/>
    <w:rsid w:val="008006C3"/>
    <w:rsid w:val="0080107E"/>
    <w:rsid w:val="00805B24"/>
    <w:rsid w:val="008117A2"/>
    <w:rsid w:val="00812B10"/>
    <w:rsid w:val="00813378"/>
    <w:rsid w:val="0081362F"/>
    <w:rsid w:val="00814EB9"/>
    <w:rsid w:val="00815553"/>
    <w:rsid w:val="00815C4A"/>
    <w:rsid w:val="008226E4"/>
    <w:rsid w:val="008268D3"/>
    <w:rsid w:val="00827DB5"/>
    <w:rsid w:val="0083056F"/>
    <w:rsid w:val="00830AF0"/>
    <w:rsid w:val="0083335B"/>
    <w:rsid w:val="008364AB"/>
    <w:rsid w:val="00836F26"/>
    <w:rsid w:val="008403A8"/>
    <w:rsid w:val="00840C96"/>
    <w:rsid w:val="008460EA"/>
    <w:rsid w:val="00850696"/>
    <w:rsid w:val="00852E3B"/>
    <w:rsid w:val="008556D3"/>
    <w:rsid w:val="008566B7"/>
    <w:rsid w:val="00860AC0"/>
    <w:rsid w:val="00860E57"/>
    <w:rsid w:val="008614E8"/>
    <w:rsid w:val="00862465"/>
    <w:rsid w:val="008676C8"/>
    <w:rsid w:val="008729BF"/>
    <w:rsid w:val="00873FE1"/>
    <w:rsid w:val="0087572B"/>
    <w:rsid w:val="00876DD6"/>
    <w:rsid w:val="00877EBC"/>
    <w:rsid w:val="008809EC"/>
    <w:rsid w:val="0088145A"/>
    <w:rsid w:val="00881626"/>
    <w:rsid w:val="008820A3"/>
    <w:rsid w:val="008908A8"/>
    <w:rsid w:val="008909DA"/>
    <w:rsid w:val="00891858"/>
    <w:rsid w:val="00894088"/>
    <w:rsid w:val="00894556"/>
    <w:rsid w:val="00895BD1"/>
    <w:rsid w:val="008A0C13"/>
    <w:rsid w:val="008A0CB3"/>
    <w:rsid w:val="008A0E87"/>
    <w:rsid w:val="008A3A92"/>
    <w:rsid w:val="008A3F72"/>
    <w:rsid w:val="008A3F76"/>
    <w:rsid w:val="008A538D"/>
    <w:rsid w:val="008A7B9D"/>
    <w:rsid w:val="008B1E93"/>
    <w:rsid w:val="008B4557"/>
    <w:rsid w:val="008B50EA"/>
    <w:rsid w:val="008B6031"/>
    <w:rsid w:val="008B6234"/>
    <w:rsid w:val="008B65E0"/>
    <w:rsid w:val="008B78A2"/>
    <w:rsid w:val="008B7A5B"/>
    <w:rsid w:val="008C197B"/>
    <w:rsid w:val="008C2575"/>
    <w:rsid w:val="008C27D8"/>
    <w:rsid w:val="008C5890"/>
    <w:rsid w:val="008C733C"/>
    <w:rsid w:val="008C76D8"/>
    <w:rsid w:val="008C7F78"/>
    <w:rsid w:val="008D0A45"/>
    <w:rsid w:val="008D2AD2"/>
    <w:rsid w:val="008E1DF8"/>
    <w:rsid w:val="008E2337"/>
    <w:rsid w:val="008E32AA"/>
    <w:rsid w:val="008E4038"/>
    <w:rsid w:val="008E47FD"/>
    <w:rsid w:val="008E6C9E"/>
    <w:rsid w:val="008E7E12"/>
    <w:rsid w:val="008E7FD9"/>
    <w:rsid w:val="008F0F42"/>
    <w:rsid w:val="008F1111"/>
    <w:rsid w:val="008F19A8"/>
    <w:rsid w:val="008F1B2D"/>
    <w:rsid w:val="008F38A1"/>
    <w:rsid w:val="008F4942"/>
    <w:rsid w:val="008F4BEF"/>
    <w:rsid w:val="008F5BDC"/>
    <w:rsid w:val="008F5F0B"/>
    <w:rsid w:val="008F6790"/>
    <w:rsid w:val="00901127"/>
    <w:rsid w:val="009017B4"/>
    <w:rsid w:val="00904619"/>
    <w:rsid w:val="009056A9"/>
    <w:rsid w:val="0090680C"/>
    <w:rsid w:val="00907637"/>
    <w:rsid w:val="00910CC7"/>
    <w:rsid w:val="00913B16"/>
    <w:rsid w:val="00913C8C"/>
    <w:rsid w:val="00914035"/>
    <w:rsid w:val="0091744C"/>
    <w:rsid w:val="0092231C"/>
    <w:rsid w:val="00923526"/>
    <w:rsid w:val="0092376F"/>
    <w:rsid w:val="00925EBE"/>
    <w:rsid w:val="00927529"/>
    <w:rsid w:val="0092778E"/>
    <w:rsid w:val="00932633"/>
    <w:rsid w:val="0093514E"/>
    <w:rsid w:val="00935418"/>
    <w:rsid w:val="00936032"/>
    <w:rsid w:val="00942B9F"/>
    <w:rsid w:val="00942E7F"/>
    <w:rsid w:val="00953654"/>
    <w:rsid w:val="00953CDE"/>
    <w:rsid w:val="00956606"/>
    <w:rsid w:val="00956FC2"/>
    <w:rsid w:val="00960F26"/>
    <w:rsid w:val="00962523"/>
    <w:rsid w:val="00965327"/>
    <w:rsid w:val="00965C4B"/>
    <w:rsid w:val="00967BB4"/>
    <w:rsid w:val="00975109"/>
    <w:rsid w:val="00976C0F"/>
    <w:rsid w:val="009813B7"/>
    <w:rsid w:val="0098161D"/>
    <w:rsid w:val="00984260"/>
    <w:rsid w:val="009902FB"/>
    <w:rsid w:val="009931BB"/>
    <w:rsid w:val="009955BD"/>
    <w:rsid w:val="00995846"/>
    <w:rsid w:val="0099690F"/>
    <w:rsid w:val="00997870"/>
    <w:rsid w:val="0099791E"/>
    <w:rsid w:val="0099796E"/>
    <w:rsid w:val="009A180E"/>
    <w:rsid w:val="009A2870"/>
    <w:rsid w:val="009A342E"/>
    <w:rsid w:val="009A455A"/>
    <w:rsid w:val="009B1AF3"/>
    <w:rsid w:val="009B379B"/>
    <w:rsid w:val="009B4CE9"/>
    <w:rsid w:val="009B5232"/>
    <w:rsid w:val="009B526A"/>
    <w:rsid w:val="009B69D3"/>
    <w:rsid w:val="009C2A46"/>
    <w:rsid w:val="009C2FF2"/>
    <w:rsid w:val="009C61E9"/>
    <w:rsid w:val="009C7097"/>
    <w:rsid w:val="009D245B"/>
    <w:rsid w:val="009D3613"/>
    <w:rsid w:val="009D379E"/>
    <w:rsid w:val="009D3A2A"/>
    <w:rsid w:val="009D4A10"/>
    <w:rsid w:val="009D65AF"/>
    <w:rsid w:val="009D7F96"/>
    <w:rsid w:val="009E1D57"/>
    <w:rsid w:val="009E209F"/>
    <w:rsid w:val="009E20D3"/>
    <w:rsid w:val="009E41BE"/>
    <w:rsid w:val="009E4BFC"/>
    <w:rsid w:val="009E5E31"/>
    <w:rsid w:val="009F3593"/>
    <w:rsid w:val="009F39D3"/>
    <w:rsid w:val="009F3E1D"/>
    <w:rsid w:val="009F498D"/>
    <w:rsid w:val="009F65B8"/>
    <w:rsid w:val="009F662C"/>
    <w:rsid w:val="009F777B"/>
    <w:rsid w:val="00A00E0B"/>
    <w:rsid w:val="00A01A42"/>
    <w:rsid w:val="00A01D60"/>
    <w:rsid w:val="00A0268F"/>
    <w:rsid w:val="00A04AB5"/>
    <w:rsid w:val="00A05EE4"/>
    <w:rsid w:val="00A0651B"/>
    <w:rsid w:val="00A10DEB"/>
    <w:rsid w:val="00A11DE5"/>
    <w:rsid w:val="00A11E5E"/>
    <w:rsid w:val="00A12CB1"/>
    <w:rsid w:val="00A12EFD"/>
    <w:rsid w:val="00A14D4F"/>
    <w:rsid w:val="00A17634"/>
    <w:rsid w:val="00A246D4"/>
    <w:rsid w:val="00A24EE1"/>
    <w:rsid w:val="00A25120"/>
    <w:rsid w:val="00A25437"/>
    <w:rsid w:val="00A2709C"/>
    <w:rsid w:val="00A313BF"/>
    <w:rsid w:val="00A33DDA"/>
    <w:rsid w:val="00A3541E"/>
    <w:rsid w:val="00A3613E"/>
    <w:rsid w:val="00A369C8"/>
    <w:rsid w:val="00A37ED7"/>
    <w:rsid w:val="00A37EDA"/>
    <w:rsid w:val="00A41198"/>
    <w:rsid w:val="00A41516"/>
    <w:rsid w:val="00A41E02"/>
    <w:rsid w:val="00A42E77"/>
    <w:rsid w:val="00A43661"/>
    <w:rsid w:val="00A43964"/>
    <w:rsid w:val="00A45DE1"/>
    <w:rsid w:val="00A4642E"/>
    <w:rsid w:val="00A505D2"/>
    <w:rsid w:val="00A51889"/>
    <w:rsid w:val="00A524D6"/>
    <w:rsid w:val="00A5250E"/>
    <w:rsid w:val="00A528D3"/>
    <w:rsid w:val="00A55E81"/>
    <w:rsid w:val="00A56764"/>
    <w:rsid w:val="00A62E9E"/>
    <w:rsid w:val="00A638AE"/>
    <w:rsid w:val="00A63945"/>
    <w:rsid w:val="00A642A1"/>
    <w:rsid w:val="00A650DF"/>
    <w:rsid w:val="00A674E4"/>
    <w:rsid w:val="00A67714"/>
    <w:rsid w:val="00A7154E"/>
    <w:rsid w:val="00A71A94"/>
    <w:rsid w:val="00A74BED"/>
    <w:rsid w:val="00A753FF"/>
    <w:rsid w:val="00A8032E"/>
    <w:rsid w:val="00A81338"/>
    <w:rsid w:val="00A9204A"/>
    <w:rsid w:val="00A93016"/>
    <w:rsid w:val="00A937DE"/>
    <w:rsid w:val="00A947DF"/>
    <w:rsid w:val="00A94C25"/>
    <w:rsid w:val="00A967FF"/>
    <w:rsid w:val="00AA27A3"/>
    <w:rsid w:val="00AA3487"/>
    <w:rsid w:val="00AA3DD7"/>
    <w:rsid w:val="00AA4D89"/>
    <w:rsid w:val="00AA4DFE"/>
    <w:rsid w:val="00AA5B37"/>
    <w:rsid w:val="00AB048A"/>
    <w:rsid w:val="00AB050A"/>
    <w:rsid w:val="00AB42AD"/>
    <w:rsid w:val="00AC1E27"/>
    <w:rsid w:val="00AC315D"/>
    <w:rsid w:val="00AC4D8D"/>
    <w:rsid w:val="00AD2366"/>
    <w:rsid w:val="00AD4BF9"/>
    <w:rsid w:val="00AD63A5"/>
    <w:rsid w:val="00AD7420"/>
    <w:rsid w:val="00AE0159"/>
    <w:rsid w:val="00AE14C9"/>
    <w:rsid w:val="00AE38A2"/>
    <w:rsid w:val="00AE7517"/>
    <w:rsid w:val="00AF1395"/>
    <w:rsid w:val="00AF1FBA"/>
    <w:rsid w:val="00AF6886"/>
    <w:rsid w:val="00AF7918"/>
    <w:rsid w:val="00B01A13"/>
    <w:rsid w:val="00B02A2E"/>
    <w:rsid w:val="00B02B35"/>
    <w:rsid w:val="00B0524F"/>
    <w:rsid w:val="00B07F34"/>
    <w:rsid w:val="00B10561"/>
    <w:rsid w:val="00B1078E"/>
    <w:rsid w:val="00B10B9F"/>
    <w:rsid w:val="00B10D3D"/>
    <w:rsid w:val="00B11450"/>
    <w:rsid w:val="00B125E3"/>
    <w:rsid w:val="00B13B75"/>
    <w:rsid w:val="00B209C1"/>
    <w:rsid w:val="00B20A31"/>
    <w:rsid w:val="00B20B2F"/>
    <w:rsid w:val="00B22AEE"/>
    <w:rsid w:val="00B22E95"/>
    <w:rsid w:val="00B25727"/>
    <w:rsid w:val="00B25CED"/>
    <w:rsid w:val="00B26BC2"/>
    <w:rsid w:val="00B278EC"/>
    <w:rsid w:val="00B34DD8"/>
    <w:rsid w:val="00B34EFD"/>
    <w:rsid w:val="00B3587D"/>
    <w:rsid w:val="00B35BB1"/>
    <w:rsid w:val="00B35D2A"/>
    <w:rsid w:val="00B362CC"/>
    <w:rsid w:val="00B365D2"/>
    <w:rsid w:val="00B36DC5"/>
    <w:rsid w:val="00B372B1"/>
    <w:rsid w:val="00B3739D"/>
    <w:rsid w:val="00B4060F"/>
    <w:rsid w:val="00B419DF"/>
    <w:rsid w:val="00B419E9"/>
    <w:rsid w:val="00B42A90"/>
    <w:rsid w:val="00B460AF"/>
    <w:rsid w:val="00B47F0D"/>
    <w:rsid w:val="00B527B2"/>
    <w:rsid w:val="00B53AFF"/>
    <w:rsid w:val="00B56DDF"/>
    <w:rsid w:val="00B576B5"/>
    <w:rsid w:val="00B57B4F"/>
    <w:rsid w:val="00B60738"/>
    <w:rsid w:val="00B64184"/>
    <w:rsid w:val="00B65113"/>
    <w:rsid w:val="00B654F5"/>
    <w:rsid w:val="00B662EE"/>
    <w:rsid w:val="00B67EA9"/>
    <w:rsid w:val="00B70083"/>
    <w:rsid w:val="00B71806"/>
    <w:rsid w:val="00B71F4C"/>
    <w:rsid w:val="00B74F22"/>
    <w:rsid w:val="00B75B55"/>
    <w:rsid w:val="00B76039"/>
    <w:rsid w:val="00B77BC5"/>
    <w:rsid w:val="00B80156"/>
    <w:rsid w:val="00B824AF"/>
    <w:rsid w:val="00B84773"/>
    <w:rsid w:val="00B85A00"/>
    <w:rsid w:val="00B86122"/>
    <w:rsid w:val="00B86AC7"/>
    <w:rsid w:val="00B91CAE"/>
    <w:rsid w:val="00B938DF"/>
    <w:rsid w:val="00B95187"/>
    <w:rsid w:val="00B97660"/>
    <w:rsid w:val="00B977BC"/>
    <w:rsid w:val="00BA0BCF"/>
    <w:rsid w:val="00BA0ECB"/>
    <w:rsid w:val="00BA35E1"/>
    <w:rsid w:val="00BA52BF"/>
    <w:rsid w:val="00BB31DC"/>
    <w:rsid w:val="00BB3E72"/>
    <w:rsid w:val="00BB54F7"/>
    <w:rsid w:val="00BB5824"/>
    <w:rsid w:val="00BB74A9"/>
    <w:rsid w:val="00BC1213"/>
    <w:rsid w:val="00BC2068"/>
    <w:rsid w:val="00BC23DD"/>
    <w:rsid w:val="00BC36A6"/>
    <w:rsid w:val="00BC4C24"/>
    <w:rsid w:val="00BC64E2"/>
    <w:rsid w:val="00BD01BC"/>
    <w:rsid w:val="00BD1644"/>
    <w:rsid w:val="00BD44AE"/>
    <w:rsid w:val="00BD4FF4"/>
    <w:rsid w:val="00BD5101"/>
    <w:rsid w:val="00BD59DA"/>
    <w:rsid w:val="00BE0D09"/>
    <w:rsid w:val="00BE2E5F"/>
    <w:rsid w:val="00BE460A"/>
    <w:rsid w:val="00BE4BE8"/>
    <w:rsid w:val="00BE660F"/>
    <w:rsid w:val="00BE6B9C"/>
    <w:rsid w:val="00BF49D0"/>
    <w:rsid w:val="00BF5572"/>
    <w:rsid w:val="00BF5E9C"/>
    <w:rsid w:val="00BF678F"/>
    <w:rsid w:val="00BF68D2"/>
    <w:rsid w:val="00BF68E0"/>
    <w:rsid w:val="00BF763F"/>
    <w:rsid w:val="00C016B9"/>
    <w:rsid w:val="00C01F4A"/>
    <w:rsid w:val="00C1353B"/>
    <w:rsid w:val="00C16686"/>
    <w:rsid w:val="00C16B5D"/>
    <w:rsid w:val="00C177C7"/>
    <w:rsid w:val="00C17BC0"/>
    <w:rsid w:val="00C20BD8"/>
    <w:rsid w:val="00C20DA7"/>
    <w:rsid w:val="00C21BF2"/>
    <w:rsid w:val="00C22B3E"/>
    <w:rsid w:val="00C33487"/>
    <w:rsid w:val="00C34076"/>
    <w:rsid w:val="00C34964"/>
    <w:rsid w:val="00C360A6"/>
    <w:rsid w:val="00C37385"/>
    <w:rsid w:val="00C415C9"/>
    <w:rsid w:val="00C42CA4"/>
    <w:rsid w:val="00C46898"/>
    <w:rsid w:val="00C516E3"/>
    <w:rsid w:val="00C51C85"/>
    <w:rsid w:val="00C56AD0"/>
    <w:rsid w:val="00C57276"/>
    <w:rsid w:val="00C6129C"/>
    <w:rsid w:val="00C61E71"/>
    <w:rsid w:val="00C61E78"/>
    <w:rsid w:val="00C62ECB"/>
    <w:rsid w:val="00C64685"/>
    <w:rsid w:val="00C65C60"/>
    <w:rsid w:val="00C6608B"/>
    <w:rsid w:val="00C661BC"/>
    <w:rsid w:val="00C7247C"/>
    <w:rsid w:val="00C74C5D"/>
    <w:rsid w:val="00C758FB"/>
    <w:rsid w:val="00C82C07"/>
    <w:rsid w:val="00C82DE0"/>
    <w:rsid w:val="00C82EA2"/>
    <w:rsid w:val="00C830E0"/>
    <w:rsid w:val="00C83C3F"/>
    <w:rsid w:val="00C86AFA"/>
    <w:rsid w:val="00C86C58"/>
    <w:rsid w:val="00C86D43"/>
    <w:rsid w:val="00C90800"/>
    <w:rsid w:val="00C91078"/>
    <w:rsid w:val="00C91E83"/>
    <w:rsid w:val="00CA0928"/>
    <w:rsid w:val="00CA3F66"/>
    <w:rsid w:val="00CA62C7"/>
    <w:rsid w:val="00CA633D"/>
    <w:rsid w:val="00CA66F7"/>
    <w:rsid w:val="00CB0874"/>
    <w:rsid w:val="00CB0F2A"/>
    <w:rsid w:val="00CB1403"/>
    <w:rsid w:val="00CB3A6F"/>
    <w:rsid w:val="00CB3C51"/>
    <w:rsid w:val="00CB45CE"/>
    <w:rsid w:val="00CC02D1"/>
    <w:rsid w:val="00CC043A"/>
    <w:rsid w:val="00CC5234"/>
    <w:rsid w:val="00CD3B42"/>
    <w:rsid w:val="00CD5564"/>
    <w:rsid w:val="00CD6620"/>
    <w:rsid w:val="00CD789B"/>
    <w:rsid w:val="00CE20E2"/>
    <w:rsid w:val="00CE227C"/>
    <w:rsid w:val="00CE4EFF"/>
    <w:rsid w:val="00CE61F3"/>
    <w:rsid w:val="00CE6886"/>
    <w:rsid w:val="00CE6917"/>
    <w:rsid w:val="00CE7592"/>
    <w:rsid w:val="00CE7BD9"/>
    <w:rsid w:val="00CE7EE1"/>
    <w:rsid w:val="00CF0234"/>
    <w:rsid w:val="00CF1AF1"/>
    <w:rsid w:val="00CF1B8D"/>
    <w:rsid w:val="00CF2362"/>
    <w:rsid w:val="00CF23CB"/>
    <w:rsid w:val="00CF38C5"/>
    <w:rsid w:val="00CF544D"/>
    <w:rsid w:val="00CF5FC2"/>
    <w:rsid w:val="00CF62DB"/>
    <w:rsid w:val="00CF6B10"/>
    <w:rsid w:val="00D005A2"/>
    <w:rsid w:val="00D007AD"/>
    <w:rsid w:val="00D021BF"/>
    <w:rsid w:val="00D04FB4"/>
    <w:rsid w:val="00D07545"/>
    <w:rsid w:val="00D10567"/>
    <w:rsid w:val="00D115FE"/>
    <w:rsid w:val="00D1217E"/>
    <w:rsid w:val="00D12D50"/>
    <w:rsid w:val="00D12DD2"/>
    <w:rsid w:val="00D13D90"/>
    <w:rsid w:val="00D13F53"/>
    <w:rsid w:val="00D143E7"/>
    <w:rsid w:val="00D16C24"/>
    <w:rsid w:val="00D2637E"/>
    <w:rsid w:val="00D2638D"/>
    <w:rsid w:val="00D306C1"/>
    <w:rsid w:val="00D30921"/>
    <w:rsid w:val="00D30E25"/>
    <w:rsid w:val="00D3264D"/>
    <w:rsid w:val="00D35747"/>
    <w:rsid w:val="00D37E2E"/>
    <w:rsid w:val="00D37ECE"/>
    <w:rsid w:val="00D408B5"/>
    <w:rsid w:val="00D42913"/>
    <w:rsid w:val="00D448A7"/>
    <w:rsid w:val="00D52F18"/>
    <w:rsid w:val="00D5315B"/>
    <w:rsid w:val="00D55E3E"/>
    <w:rsid w:val="00D56504"/>
    <w:rsid w:val="00D5667D"/>
    <w:rsid w:val="00D56D18"/>
    <w:rsid w:val="00D56EAA"/>
    <w:rsid w:val="00D56F27"/>
    <w:rsid w:val="00D62733"/>
    <w:rsid w:val="00D64787"/>
    <w:rsid w:val="00D650E6"/>
    <w:rsid w:val="00D653B0"/>
    <w:rsid w:val="00D70338"/>
    <w:rsid w:val="00D71777"/>
    <w:rsid w:val="00D72BEB"/>
    <w:rsid w:val="00D755C4"/>
    <w:rsid w:val="00D75C79"/>
    <w:rsid w:val="00D76514"/>
    <w:rsid w:val="00D816CF"/>
    <w:rsid w:val="00D81B65"/>
    <w:rsid w:val="00D83DCC"/>
    <w:rsid w:val="00D83DDE"/>
    <w:rsid w:val="00D84F0B"/>
    <w:rsid w:val="00D86CA9"/>
    <w:rsid w:val="00D91137"/>
    <w:rsid w:val="00D91AEE"/>
    <w:rsid w:val="00D9630C"/>
    <w:rsid w:val="00DA0351"/>
    <w:rsid w:val="00DA37E1"/>
    <w:rsid w:val="00DA491E"/>
    <w:rsid w:val="00DA594C"/>
    <w:rsid w:val="00DA7E78"/>
    <w:rsid w:val="00DB1F90"/>
    <w:rsid w:val="00DB2177"/>
    <w:rsid w:val="00DB3268"/>
    <w:rsid w:val="00DC4055"/>
    <w:rsid w:val="00DD3A55"/>
    <w:rsid w:val="00DD4E2A"/>
    <w:rsid w:val="00DE094F"/>
    <w:rsid w:val="00DE31FC"/>
    <w:rsid w:val="00DE329D"/>
    <w:rsid w:val="00DE32C3"/>
    <w:rsid w:val="00DE3EEB"/>
    <w:rsid w:val="00DE45DB"/>
    <w:rsid w:val="00DE505F"/>
    <w:rsid w:val="00DE64A6"/>
    <w:rsid w:val="00DE6E15"/>
    <w:rsid w:val="00DE6F1E"/>
    <w:rsid w:val="00DF2288"/>
    <w:rsid w:val="00DF2360"/>
    <w:rsid w:val="00E03160"/>
    <w:rsid w:val="00E04870"/>
    <w:rsid w:val="00E062D1"/>
    <w:rsid w:val="00E07B1C"/>
    <w:rsid w:val="00E1187D"/>
    <w:rsid w:val="00E11B05"/>
    <w:rsid w:val="00E12202"/>
    <w:rsid w:val="00E16530"/>
    <w:rsid w:val="00E16A8F"/>
    <w:rsid w:val="00E20FA6"/>
    <w:rsid w:val="00E21E34"/>
    <w:rsid w:val="00E22DF2"/>
    <w:rsid w:val="00E23464"/>
    <w:rsid w:val="00E2445C"/>
    <w:rsid w:val="00E26C3A"/>
    <w:rsid w:val="00E30000"/>
    <w:rsid w:val="00E31723"/>
    <w:rsid w:val="00E31753"/>
    <w:rsid w:val="00E31983"/>
    <w:rsid w:val="00E3256B"/>
    <w:rsid w:val="00E32FD8"/>
    <w:rsid w:val="00E33805"/>
    <w:rsid w:val="00E36DED"/>
    <w:rsid w:val="00E37251"/>
    <w:rsid w:val="00E4028F"/>
    <w:rsid w:val="00E41F9B"/>
    <w:rsid w:val="00E4428C"/>
    <w:rsid w:val="00E45813"/>
    <w:rsid w:val="00E46B97"/>
    <w:rsid w:val="00E50055"/>
    <w:rsid w:val="00E5012B"/>
    <w:rsid w:val="00E5146C"/>
    <w:rsid w:val="00E53E97"/>
    <w:rsid w:val="00E55C95"/>
    <w:rsid w:val="00E606AE"/>
    <w:rsid w:val="00E724C2"/>
    <w:rsid w:val="00E72C1B"/>
    <w:rsid w:val="00E73BF0"/>
    <w:rsid w:val="00E74932"/>
    <w:rsid w:val="00E75471"/>
    <w:rsid w:val="00E764A5"/>
    <w:rsid w:val="00E76B7B"/>
    <w:rsid w:val="00E77669"/>
    <w:rsid w:val="00E81CE8"/>
    <w:rsid w:val="00E828C3"/>
    <w:rsid w:val="00E83830"/>
    <w:rsid w:val="00E8748A"/>
    <w:rsid w:val="00E90060"/>
    <w:rsid w:val="00E9203B"/>
    <w:rsid w:val="00E93489"/>
    <w:rsid w:val="00E93B53"/>
    <w:rsid w:val="00E93F24"/>
    <w:rsid w:val="00E95021"/>
    <w:rsid w:val="00E95DBB"/>
    <w:rsid w:val="00E97BBE"/>
    <w:rsid w:val="00E97FC4"/>
    <w:rsid w:val="00EA2152"/>
    <w:rsid w:val="00EA3E57"/>
    <w:rsid w:val="00EA4881"/>
    <w:rsid w:val="00EA593B"/>
    <w:rsid w:val="00EA5F6A"/>
    <w:rsid w:val="00EA6958"/>
    <w:rsid w:val="00EB0CCE"/>
    <w:rsid w:val="00EB1B1C"/>
    <w:rsid w:val="00EB2F64"/>
    <w:rsid w:val="00EB4527"/>
    <w:rsid w:val="00EC0725"/>
    <w:rsid w:val="00EC3496"/>
    <w:rsid w:val="00EC4A3F"/>
    <w:rsid w:val="00EC64E2"/>
    <w:rsid w:val="00EC70EB"/>
    <w:rsid w:val="00ED3457"/>
    <w:rsid w:val="00ED353E"/>
    <w:rsid w:val="00ED3FE3"/>
    <w:rsid w:val="00ED4C57"/>
    <w:rsid w:val="00ED6D32"/>
    <w:rsid w:val="00ED7620"/>
    <w:rsid w:val="00ED7CAD"/>
    <w:rsid w:val="00EE00DD"/>
    <w:rsid w:val="00EE0589"/>
    <w:rsid w:val="00EE49AB"/>
    <w:rsid w:val="00EE4D78"/>
    <w:rsid w:val="00EF0FE4"/>
    <w:rsid w:val="00EF3267"/>
    <w:rsid w:val="00EF371E"/>
    <w:rsid w:val="00EF79FE"/>
    <w:rsid w:val="00F00BA9"/>
    <w:rsid w:val="00F02184"/>
    <w:rsid w:val="00F02A4F"/>
    <w:rsid w:val="00F05493"/>
    <w:rsid w:val="00F0611C"/>
    <w:rsid w:val="00F069DB"/>
    <w:rsid w:val="00F07BB0"/>
    <w:rsid w:val="00F07E5D"/>
    <w:rsid w:val="00F125CE"/>
    <w:rsid w:val="00F14489"/>
    <w:rsid w:val="00F15F27"/>
    <w:rsid w:val="00F16693"/>
    <w:rsid w:val="00F1712B"/>
    <w:rsid w:val="00F202FE"/>
    <w:rsid w:val="00F211A5"/>
    <w:rsid w:val="00F2337B"/>
    <w:rsid w:val="00F24023"/>
    <w:rsid w:val="00F24773"/>
    <w:rsid w:val="00F269AC"/>
    <w:rsid w:val="00F27D37"/>
    <w:rsid w:val="00F33EBB"/>
    <w:rsid w:val="00F40F2A"/>
    <w:rsid w:val="00F42E02"/>
    <w:rsid w:val="00F4368E"/>
    <w:rsid w:val="00F44ACB"/>
    <w:rsid w:val="00F45FD6"/>
    <w:rsid w:val="00F50344"/>
    <w:rsid w:val="00F515A7"/>
    <w:rsid w:val="00F519F1"/>
    <w:rsid w:val="00F520C1"/>
    <w:rsid w:val="00F528CF"/>
    <w:rsid w:val="00F55786"/>
    <w:rsid w:val="00F5589B"/>
    <w:rsid w:val="00F55CF0"/>
    <w:rsid w:val="00F568F9"/>
    <w:rsid w:val="00F573F9"/>
    <w:rsid w:val="00F57C07"/>
    <w:rsid w:val="00F61BF4"/>
    <w:rsid w:val="00F62CDA"/>
    <w:rsid w:val="00F6447E"/>
    <w:rsid w:val="00F655A9"/>
    <w:rsid w:val="00F664D2"/>
    <w:rsid w:val="00F71D76"/>
    <w:rsid w:val="00F7226A"/>
    <w:rsid w:val="00F734DB"/>
    <w:rsid w:val="00F75048"/>
    <w:rsid w:val="00F77DDD"/>
    <w:rsid w:val="00F803BF"/>
    <w:rsid w:val="00F81B34"/>
    <w:rsid w:val="00F81E26"/>
    <w:rsid w:val="00F8477A"/>
    <w:rsid w:val="00F85E59"/>
    <w:rsid w:val="00F8659B"/>
    <w:rsid w:val="00F87320"/>
    <w:rsid w:val="00F92538"/>
    <w:rsid w:val="00F93003"/>
    <w:rsid w:val="00F94A48"/>
    <w:rsid w:val="00F95C11"/>
    <w:rsid w:val="00F96AF5"/>
    <w:rsid w:val="00F972B7"/>
    <w:rsid w:val="00F9CE8E"/>
    <w:rsid w:val="00FA007F"/>
    <w:rsid w:val="00FA13ED"/>
    <w:rsid w:val="00FA1DD5"/>
    <w:rsid w:val="00FA3A5C"/>
    <w:rsid w:val="00FA4D7A"/>
    <w:rsid w:val="00FA55CD"/>
    <w:rsid w:val="00FA5A56"/>
    <w:rsid w:val="00FB39A3"/>
    <w:rsid w:val="00FB7C34"/>
    <w:rsid w:val="00FC28E3"/>
    <w:rsid w:val="00FC4888"/>
    <w:rsid w:val="00FC4A4C"/>
    <w:rsid w:val="00FC4ABC"/>
    <w:rsid w:val="00FC7006"/>
    <w:rsid w:val="00FD2662"/>
    <w:rsid w:val="00FD7787"/>
    <w:rsid w:val="00FE07D0"/>
    <w:rsid w:val="00FE2CD5"/>
    <w:rsid w:val="00FE3257"/>
    <w:rsid w:val="00FE5414"/>
    <w:rsid w:val="00FE5C1D"/>
    <w:rsid w:val="00FE6113"/>
    <w:rsid w:val="00FE7445"/>
    <w:rsid w:val="00FE78EE"/>
    <w:rsid w:val="00FF1124"/>
    <w:rsid w:val="00FF15EA"/>
    <w:rsid w:val="00FF2034"/>
    <w:rsid w:val="00FF7941"/>
    <w:rsid w:val="00FF7BEF"/>
    <w:rsid w:val="1709C3F1"/>
    <w:rsid w:val="1BB73FC2"/>
    <w:rsid w:val="74B2F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856F6"/>
  <w15:chartTrackingRefBased/>
  <w15:docId w15:val="{6DD62814-D8BD-46F8-A7BB-73959C59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2202"/>
  </w:style>
  <w:style w:type="paragraph" w:styleId="Kop1">
    <w:name w:val="heading 1"/>
    <w:basedOn w:val="Standaard"/>
    <w:next w:val="Standaard"/>
    <w:link w:val="Kop1Char"/>
    <w:qFormat/>
    <w:rsid w:val="00277EC3"/>
    <w:pPr>
      <w:keepNext/>
      <w:outlineLvl w:val="0"/>
    </w:pPr>
    <w:rPr>
      <w:rFonts w:ascii="Arial" w:hAnsi="Arial"/>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paragraph" w:styleId="Kop4">
    <w:name w:val="heading 4"/>
    <w:basedOn w:val="Standaard"/>
    <w:next w:val="Standaard"/>
    <w:link w:val="Kop4Char"/>
    <w:uiPriority w:val="9"/>
    <w:semiHidden/>
    <w:unhideWhenUsed/>
    <w:qFormat/>
    <w:rsid w:val="00F734DB"/>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277EC3"/>
    <w:rPr>
      <w:rFonts w:ascii="Arial" w:eastAsia="Times New Roman" w:hAnsi="Arial" w:cs="Times New Roman"/>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4C1487"/>
    <w:pPr>
      <w:tabs>
        <w:tab w:val="right" w:leader="dot" w:pos="9062"/>
      </w:tabs>
    </w:pPr>
    <w:rPr>
      <w:rFonts w:ascii="Arial" w:hAnsi="Arial" w:cs="Arial"/>
      <w:bCs/>
      <w:noProof/>
      <w:kern w:val="32"/>
      <w:sz w:val="18"/>
      <w:szCs w:val="18"/>
    </w:rPr>
  </w:style>
  <w:style w:type="paragraph" w:styleId="Inhopg2">
    <w:name w:val="toc 2"/>
    <w:basedOn w:val="Standaard"/>
    <w:next w:val="Standaard"/>
    <w:autoRedefine/>
    <w:uiPriority w:val="39"/>
    <w:unhideWhenUsed/>
    <w:rsid w:val="008908A8"/>
    <w:pPr>
      <w:tabs>
        <w:tab w:val="right" w:leader="dot" w:pos="9232"/>
      </w:tabs>
    </w:p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tabs>
        <w:tab w:val="right" w:leader="dot" w:pos="9232"/>
      </w:tabs>
      <w:spacing w:line="276" w:lineRule="auto"/>
    </w:pPr>
    <w:rPr>
      <w:rFonts w:ascii="Arial" w:eastAsia="Calibri" w:hAnsi="Arial" w:cs="Arial"/>
      <w:b/>
      <w:bCs/>
      <w:i/>
      <w:noProof/>
      <w:sz w:val="18"/>
      <w:szCs w:val="18"/>
      <w:lang w:eastAsia="en-US"/>
    </w:rPr>
  </w:style>
  <w:style w:type="paragraph" w:styleId="Inhopg4">
    <w:name w:val="toc 4"/>
    <w:basedOn w:val="Standaard"/>
    <w:next w:val="Standaard"/>
    <w:autoRedefine/>
    <w:uiPriority w:val="39"/>
    <w:unhideWhenUsed/>
    <w:rsid w:val="00533051"/>
    <w:pPr>
      <w:spacing w:line="276" w:lineRule="auto"/>
      <w:ind w:left="660"/>
    </w:pPr>
    <w:rPr>
      <w:rFonts w:ascii="Calibri" w:eastAsia="Calibri" w:hAnsi="Calibri"/>
      <w:lang w:eastAsia="en-US"/>
    </w:rPr>
  </w:style>
  <w:style w:type="paragraph" w:styleId="Inhopg5">
    <w:name w:val="toc 5"/>
    <w:basedOn w:val="Standaard"/>
    <w:next w:val="Standaard"/>
    <w:autoRedefine/>
    <w:uiPriority w:val="39"/>
    <w:unhideWhenUsed/>
    <w:rsid w:val="00533051"/>
    <w:pPr>
      <w:spacing w:line="276" w:lineRule="auto"/>
      <w:ind w:left="880"/>
    </w:pPr>
    <w:rPr>
      <w:rFonts w:ascii="Calibri" w:eastAsia="Calibri" w:hAnsi="Calibri"/>
      <w:lang w:eastAsia="en-US"/>
    </w:rPr>
  </w:style>
  <w:style w:type="paragraph" w:styleId="Inhopg6">
    <w:name w:val="toc 6"/>
    <w:basedOn w:val="Standaard"/>
    <w:next w:val="Standaard"/>
    <w:autoRedefine/>
    <w:uiPriority w:val="39"/>
    <w:unhideWhenUsed/>
    <w:rsid w:val="00533051"/>
    <w:pPr>
      <w:spacing w:line="276" w:lineRule="auto"/>
      <w:ind w:left="1100"/>
    </w:pPr>
    <w:rPr>
      <w:rFonts w:ascii="Calibri" w:eastAsia="Calibri" w:hAnsi="Calibri"/>
      <w:lang w:eastAsia="en-US"/>
    </w:rPr>
  </w:style>
  <w:style w:type="paragraph" w:styleId="Inhopg7">
    <w:name w:val="toc 7"/>
    <w:basedOn w:val="Standaard"/>
    <w:next w:val="Standaard"/>
    <w:autoRedefine/>
    <w:uiPriority w:val="39"/>
    <w:unhideWhenUsed/>
    <w:rsid w:val="00533051"/>
    <w:pPr>
      <w:spacing w:line="276" w:lineRule="auto"/>
      <w:ind w:left="1320"/>
    </w:pPr>
    <w:rPr>
      <w:rFonts w:ascii="Calibri" w:eastAsia="Calibri" w:hAnsi="Calibri"/>
      <w:lang w:eastAsia="en-US"/>
    </w:rPr>
  </w:style>
  <w:style w:type="paragraph" w:styleId="Inhopg8">
    <w:name w:val="toc 8"/>
    <w:basedOn w:val="Standaard"/>
    <w:next w:val="Standaard"/>
    <w:autoRedefine/>
    <w:uiPriority w:val="39"/>
    <w:unhideWhenUsed/>
    <w:rsid w:val="00533051"/>
    <w:pPr>
      <w:spacing w:line="276" w:lineRule="auto"/>
      <w:ind w:left="1540"/>
    </w:pPr>
    <w:rPr>
      <w:rFonts w:ascii="Calibri" w:eastAsia="Calibri" w:hAnsi="Calibri"/>
      <w:lang w:eastAsia="en-US"/>
    </w:rPr>
  </w:style>
  <w:style w:type="paragraph" w:styleId="Inhopg9">
    <w:name w:val="toc 9"/>
    <w:basedOn w:val="Standaard"/>
    <w:next w:val="Standaard"/>
    <w:autoRedefine/>
    <w:uiPriority w:val="39"/>
    <w:unhideWhenUsed/>
    <w:rsid w:val="00533051"/>
    <w:pPr>
      <w:spacing w:line="276" w:lineRule="auto"/>
      <w:ind w:left="1760"/>
    </w:pPr>
    <w:rPr>
      <w:rFonts w:ascii="Calibri" w:eastAsia="Calibri" w:hAnsi="Calibri"/>
      <w:lang w:eastAsia="en-US"/>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ascii="Arial" w:eastAsia="Calibri" w:hAnsi="Arial" w:cs="Arial"/>
      <w:sz w:val="2"/>
      <w:lang w:val="en-GB" w:eastAsia="en-US"/>
    </w:rPr>
  </w:style>
  <w:style w:type="paragraph" w:styleId="Lijstopsomteken">
    <w:name w:val="List Bullet"/>
    <w:basedOn w:val="Standaard"/>
    <w:qFormat/>
    <w:rsid w:val="00533051"/>
    <w:pPr>
      <w:numPr>
        <w:numId w:val="1"/>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1"/>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1"/>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1"/>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1"/>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rFonts w:ascii="Arial" w:hAnsi="Arial"/>
      <w:b/>
      <w:sz w:val="24"/>
      <w:lang w:eastAsia="en-US"/>
    </w:rPr>
  </w:style>
  <w:style w:type="paragraph" w:customStyle="1" w:styleId="Bold14">
    <w:name w:val="Bold14"/>
    <w:basedOn w:val="Standaard"/>
    <w:next w:val="Standaard"/>
    <w:link w:val="Bold14Char"/>
    <w:rsid w:val="00A14D4F"/>
    <w:pPr>
      <w:spacing w:before="240"/>
    </w:pPr>
    <w:rPr>
      <w:rFonts w:ascii="Arial" w:hAnsi="Arial"/>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rFonts w:ascii="Arial" w:hAnsi="Arial"/>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rFonts w:ascii="Arial" w:hAnsi="Arial"/>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2"/>
      </w:numPr>
    </w:pPr>
  </w:style>
  <w:style w:type="paragraph" w:customStyle="1" w:styleId="Opsomming">
    <w:name w:val="Opsomming"/>
    <w:basedOn w:val="Standaard"/>
    <w:uiPriority w:val="3"/>
    <w:qFormat/>
    <w:rsid w:val="00A14D4F"/>
    <w:pPr>
      <w:numPr>
        <w:numId w:val="3"/>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customStyle="1" w:styleId="Kop4Char">
    <w:name w:val="Kop 4 Char"/>
    <w:link w:val="Kop4"/>
    <w:uiPriority w:val="9"/>
    <w:semiHidden/>
    <w:rsid w:val="00F734DB"/>
    <w:rPr>
      <w:rFonts w:ascii="Calibri" w:eastAsia="Times New Roman" w:hAnsi="Calibri" w:cs="Times New Roman"/>
      <w:b/>
      <w:bCs/>
      <w:sz w:val="28"/>
      <w:szCs w:val="28"/>
    </w:rPr>
  </w:style>
  <w:style w:type="character" w:customStyle="1" w:styleId="manualparagraph-number">
    <w:name w:val="manual__paragraph-number"/>
    <w:basedOn w:val="Standaardalinea-lettertype"/>
    <w:rsid w:val="00F734DB"/>
  </w:style>
  <w:style w:type="character" w:styleId="Onopgelostemelding">
    <w:name w:val="Unresolved Mention"/>
    <w:uiPriority w:val="99"/>
    <w:semiHidden/>
    <w:unhideWhenUsed/>
    <w:rsid w:val="00253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51391">
      <w:bodyDiv w:val="1"/>
      <w:marLeft w:val="0"/>
      <w:marRight w:val="0"/>
      <w:marTop w:val="0"/>
      <w:marBottom w:val="0"/>
      <w:divBdr>
        <w:top w:val="none" w:sz="0" w:space="0" w:color="auto"/>
        <w:left w:val="none" w:sz="0" w:space="0" w:color="auto"/>
        <w:bottom w:val="none" w:sz="0" w:space="0" w:color="auto"/>
        <w:right w:val="none" w:sz="0" w:space="0" w:color="auto"/>
      </w:divBdr>
      <w:divsChild>
        <w:div w:id="1535074988">
          <w:marLeft w:val="0"/>
          <w:marRight w:val="0"/>
          <w:marTop w:val="0"/>
          <w:marBottom w:val="0"/>
          <w:divBdr>
            <w:top w:val="none" w:sz="0" w:space="0" w:color="auto"/>
            <w:left w:val="none" w:sz="0" w:space="0" w:color="auto"/>
            <w:bottom w:val="none" w:sz="0" w:space="0" w:color="auto"/>
            <w:right w:val="none" w:sz="0" w:space="0" w:color="auto"/>
          </w:divBdr>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00834">
      <w:bodyDiv w:val="1"/>
      <w:marLeft w:val="0"/>
      <w:marRight w:val="0"/>
      <w:marTop w:val="0"/>
      <w:marBottom w:val="0"/>
      <w:divBdr>
        <w:top w:val="none" w:sz="0" w:space="0" w:color="auto"/>
        <w:left w:val="none" w:sz="0" w:space="0" w:color="auto"/>
        <w:bottom w:val="none" w:sz="0" w:space="0" w:color="auto"/>
        <w:right w:val="none" w:sz="0" w:space="0" w:color="auto"/>
      </w:divBdr>
      <w:divsChild>
        <w:div w:id="46997194">
          <w:marLeft w:val="0"/>
          <w:marRight w:val="0"/>
          <w:marTop w:val="0"/>
          <w:marBottom w:val="0"/>
          <w:divBdr>
            <w:top w:val="none" w:sz="0" w:space="0" w:color="auto"/>
            <w:left w:val="none" w:sz="0" w:space="0" w:color="auto"/>
            <w:bottom w:val="none" w:sz="0" w:space="0" w:color="auto"/>
            <w:right w:val="none" w:sz="0" w:space="0" w:color="auto"/>
          </w:divBdr>
        </w:div>
        <w:div w:id="363674522">
          <w:marLeft w:val="0"/>
          <w:marRight w:val="0"/>
          <w:marTop w:val="0"/>
          <w:marBottom w:val="0"/>
          <w:divBdr>
            <w:top w:val="none" w:sz="0" w:space="0" w:color="auto"/>
            <w:left w:val="none" w:sz="0" w:space="0" w:color="auto"/>
            <w:bottom w:val="none" w:sz="0" w:space="0" w:color="auto"/>
            <w:right w:val="none" w:sz="0" w:space="0" w:color="auto"/>
          </w:divBdr>
        </w:div>
        <w:div w:id="436146623">
          <w:marLeft w:val="0"/>
          <w:marRight w:val="0"/>
          <w:marTop w:val="0"/>
          <w:marBottom w:val="0"/>
          <w:divBdr>
            <w:top w:val="none" w:sz="0" w:space="0" w:color="auto"/>
            <w:left w:val="none" w:sz="0" w:space="0" w:color="auto"/>
            <w:bottom w:val="none" w:sz="0" w:space="0" w:color="auto"/>
            <w:right w:val="none" w:sz="0" w:space="0" w:color="auto"/>
          </w:divBdr>
        </w:div>
        <w:div w:id="479855378">
          <w:marLeft w:val="0"/>
          <w:marRight w:val="0"/>
          <w:marTop w:val="0"/>
          <w:marBottom w:val="0"/>
          <w:divBdr>
            <w:top w:val="none" w:sz="0" w:space="0" w:color="auto"/>
            <w:left w:val="none" w:sz="0" w:space="0" w:color="auto"/>
            <w:bottom w:val="none" w:sz="0" w:space="0" w:color="auto"/>
            <w:right w:val="none" w:sz="0" w:space="0" w:color="auto"/>
          </w:divBdr>
        </w:div>
        <w:div w:id="523444387">
          <w:marLeft w:val="0"/>
          <w:marRight w:val="0"/>
          <w:marTop w:val="0"/>
          <w:marBottom w:val="0"/>
          <w:divBdr>
            <w:top w:val="none" w:sz="0" w:space="0" w:color="auto"/>
            <w:left w:val="none" w:sz="0" w:space="0" w:color="auto"/>
            <w:bottom w:val="none" w:sz="0" w:space="0" w:color="auto"/>
            <w:right w:val="none" w:sz="0" w:space="0" w:color="auto"/>
          </w:divBdr>
        </w:div>
        <w:div w:id="539707202">
          <w:marLeft w:val="0"/>
          <w:marRight w:val="0"/>
          <w:marTop w:val="0"/>
          <w:marBottom w:val="0"/>
          <w:divBdr>
            <w:top w:val="none" w:sz="0" w:space="0" w:color="auto"/>
            <w:left w:val="none" w:sz="0" w:space="0" w:color="auto"/>
            <w:bottom w:val="none" w:sz="0" w:space="0" w:color="auto"/>
            <w:right w:val="none" w:sz="0" w:space="0" w:color="auto"/>
          </w:divBdr>
        </w:div>
        <w:div w:id="768888705">
          <w:marLeft w:val="0"/>
          <w:marRight w:val="0"/>
          <w:marTop w:val="0"/>
          <w:marBottom w:val="0"/>
          <w:divBdr>
            <w:top w:val="none" w:sz="0" w:space="0" w:color="auto"/>
            <w:left w:val="none" w:sz="0" w:space="0" w:color="auto"/>
            <w:bottom w:val="none" w:sz="0" w:space="0" w:color="auto"/>
            <w:right w:val="none" w:sz="0" w:space="0" w:color="auto"/>
          </w:divBdr>
        </w:div>
        <w:div w:id="863633537">
          <w:marLeft w:val="0"/>
          <w:marRight w:val="0"/>
          <w:marTop w:val="0"/>
          <w:marBottom w:val="0"/>
          <w:divBdr>
            <w:top w:val="none" w:sz="0" w:space="0" w:color="auto"/>
            <w:left w:val="none" w:sz="0" w:space="0" w:color="auto"/>
            <w:bottom w:val="none" w:sz="0" w:space="0" w:color="auto"/>
            <w:right w:val="none" w:sz="0" w:space="0" w:color="auto"/>
          </w:divBdr>
        </w:div>
        <w:div w:id="871262439">
          <w:marLeft w:val="0"/>
          <w:marRight w:val="0"/>
          <w:marTop w:val="0"/>
          <w:marBottom w:val="0"/>
          <w:divBdr>
            <w:top w:val="none" w:sz="0" w:space="0" w:color="auto"/>
            <w:left w:val="none" w:sz="0" w:space="0" w:color="auto"/>
            <w:bottom w:val="none" w:sz="0" w:space="0" w:color="auto"/>
            <w:right w:val="none" w:sz="0" w:space="0" w:color="auto"/>
          </w:divBdr>
        </w:div>
        <w:div w:id="1055666254">
          <w:marLeft w:val="0"/>
          <w:marRight w:val="0"/>
          <w:marTop w:val="0"/>
          <w:marBottom w:val="0"/>
          <w:divBdr>
            <w:top w:val="none" w:sz="0" w:space="0" w:color="auto"/>
            <w:left w:val="none" w:sz="0" w:space="0" w:color="auto"/>
            <w:bottom w:val="none" w:sz="0" w:space="0" w:color="auto"/>
            <w:right w:val="none" w:sz="0" w:space="0" w:color="auto"/>
          </w:divBdr>
        </w:div>
        <w:div w:id="1171525046">
          <w:marLeft w:val="0"/>
          <w:marRight w:val="0"/>
          <w:marTop w:val="0"/>
          <w:marBottom w:val="0"/>
          <w:divBdr>
            <w:top w:val="none" w:sz="0" w:space="0" w:color="auto"/>
            <w:left w:val="none" w:sz="0" w:space="0" w:color="auto"/>
            <w:bottom w:val="none" w:sz="0" w:space="0" w:color="auto"/>
            <w:right w:val="none" w:sz="0" w:space="0" w:color="auto"/>
          </w:divBdr>
        </w:div>
        <w:div w:id="1225679331">
          <w:marLeft w:val="0"/>
          <w:marRight w:val="0"/>
          <w:marTop w:val="0"/>
          <w:marBottom w:val="0"/>
          <w:divBdr>
            <w:top w:val="none" w:sz="0" w:space="0" w:color="auto"/>
            <w:left w:val="none" w:sz="0" w:space="0" w:color="auto"/>
            <w:bottom w:val="none" w:sz="0" w:space="0" w:color="auto"/>
            <w:right w:val="none" w:sz="0" w:space="0" w:color="auto"/>
          </w:divBdr>
        </w:div>
        <w:div w:id="1322582600">
          <w:marLeft w:val="0"/>
          <w:marRight w:val="0"/>
          <w:marTop w:val="0"/>
          <w:marBottom w:val="0"/>
          <w:divBdr>
            <w:top w:val="none" w:sz="0" w:space="0" w:color="auto"/>
            <w:left w:val="none" w:sz="0" w:space="0" w:color="auto"/>
            <w:bottom w:val="none" w:sz="0" w:space="0" w:color="auto"/>
            <w:right w:val="none" w:sz="0" w:space="0" w:color="auto"/>
          </w:divBdr>
        </w:div>
        <w:div w:id="1343319525">
          <w:marLeft w:val="0"/>
          <w:marRight w:val="0"/>
          <w:marTop w:val="0"/>
          <w:marBottom w:val="0"/>
          <w:divBdr>
            <w:top w:val="none" w:sz="0" w:space="0" w:color="auto"/>
            <w:left w:val="none" w:sz="0" w:space="0" w:color="auto"/>
            <w:bottom w:val="none" w:sz="0" w:space="0" w:color="auto"/>
            <w:right w:val="none" w:sz="0" w:space="0" w:color="auto"/>
          </w:divBdr>
        </w:div>
        <w:div w:id="1443067227">
          <w:marLeft w:val="0"/>
          <w:marRight w:val="0"/>
          <w:marTop w:val="0"/>
          <w:marBottom w:val="0"/>
          <w:divBdr>
            <w:top w:val="none" w:sz="0" w:space="0" w:color="auto"/>
            <w:left w:val="none" w:sz="0" w:space="0" w:color="auto"/>
            <w:bottom w:val="none" w:sz="0" w:space="0" w:color="auto"/>
            <w:right w:val="none" w:sz="0" w:space="0" w:color="auto"/>
          </w:divBdr>
        </w:div>
        <w:div w:id="1456364354">
          <w:marLeft w:val="0"/>
          <w:marRight w:val="0"/>
          <w:marTop w:val="0"/>
          <w:marBottom w:val="0"/>
          <w:divBdr>
            <w:top w:val="none" w:sz="0" w:space="0" w:color="auto"/>
            <w:left w:val="none" w:sz="0" w:space="0" w:color="auto"/>
            <w:bottom w:val="none" w:sz="0" w:space="0" w:color="auto"/>
            <w:right w:val="none" w:sz="0" w:space="0" w:color="auto"/>
          </w:divBdr>
        </w:div>
        <w:div w:id="1622875726">
          <w:marLeft w:val="0"/>
          <w:marRight w:val="0"/>
          <w:marTop w:val="0"/>
          <w:marBottom w:val="0"/>
          <w:divBdr>
            <w:top w:val="none" w:sz="0" w:space="0" w:color="auto"/>
            <w:left w:val="none" w:sz="0" w:space="0" w:color="auto"/>
            <w:bottom w:val="none" w:sz="0" w:space="0" w:color="auto"/>
            <w:right w:val="none" w:sz="0" w:space="0" w:color="auto"/>
          </w:divBdr>
        </w:div>
        <w:div w:id="2085951145">
          <w:marLeft w:val="0"/>
          <w:marRight w:val="0"/>
          <w:marTop w:val="0"/>
          <w:marBottom w:val="0"/>
          <w:divBdr>
            <w:top w:val="none" w:sz="0" w:space="0" w:color="auto"/>
            <w:left w:val="none" w:sz="0" w:space="0" w:color="auto"/>
            <w:bottom w:val="none" w:sz="0" w:space="0" w:color="auto"/>
            <w:right w:val="none" w:sz="0" w:space="0" w:color="auto"/>
          </w:divBdr>
        </w:div>
      </w:divsChild>
    </w:div>
    <w:div w:id="1530752803">
      <w:bodyDiv w:val="1"/>
      <w:marLeft w:val="0"/>
      <w:marRight w:val="0"/>
      <w:marTop w:val="0"/>
      <w:marBottom w:val="0"/>
      <w:divBdr>
        <w:top w:val="none" w:sz="0" w:space="0" w:color="auto"/>
        <w:left w:val="none" w:sz="0" w:space="0" w:color="auto"/>
        <w:bottom w:val="none" w:sz="0" w:space="0" w:color="auto"/>
        <w:right w:val="none" w:sz="0" w:space="0" w:color="auto"/>
      </w:divBdr>
      <w:divsChild>
        <w:div w:id="1433745287">
          <w:marLeft w:val="0"/>
          <w:marRight w:val="0"/>
          <w:marTop w:val="0"/>
          <w:marBottom w:val="0"/>
          <w:divBdr>
            <w:top w:val="none" w:sz="0" w:space="0" w:color="auto"/>
            <w:left w:val="none" w:sz="0" w:space="0" w:color="auto"/>
            <w:bottom w:val="none" w:sz="0" w:space="0" w:color="auto"/>
            <w:right w:val="none" w:sz="0" w:space="0" w:color="auto"/>
          </w:divBdr>
        </w:div>
        <w:div w:id="1973944752">
          <w:marLeft w:val="0"/>
          <w:marRight w:val="0"/>
          <w:marTop w:val="0"/>
          <w:marBottom w:val="0"/>
          <w:divBdr>
            <w:top w:val="none" w:sz="0" w:space="0" w:color="auto"/>
            <w:left w:val="none" w:sz="0" w:space="0" w:color="auto"/>
            <w:bottom w:val="none" w:sz="0" w:space="0" w:color="auto"/>
            <w:right w:val="none" w:sz="0" w:space="0" w:color="auto"/>
          </w:divBdr>
        </w:div>
      </w:divsChild>
    </w:div>
    <w:div w:id="166588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E2AD55A6494498E215EB97C6FF1A8" ma:contentTypeVersion="6" ma:contentTypeDescription="Een nieuw document maken." ma:contentTypeScope="" ma:versionID="ae9d8bb38938c803c46dc8644b973cc0">
  <xsd:schema xmlns:xsd="http://www.w3.org/2001/XMLSchema" xmlns:xs="http://www.w3.org/2001/XMLSchema" xmlns:p="http://schemas.microsoft.com/office/2006/metadata/properties" xmlns:ns2="152f10ec-e522-4b85-9e05-ab0aad99ae7a" xmlns:ns3="00070200-01b3-43cc-a33b-0079dd1b1de4" targetNamespace="http://schemas.microsoft.com/office/2006/metadata/properties" ma:root="true" ma:fieldsID="087e8f0a29a4ac1497bb2c97c95ede80" ns2:_="" ns3:_="">
    <xsd:import namespace="152f10ec-e522-4b85-9e05-ab0aad99ae7a"/>
    <xsd:import namespace="00070200-01b3-43cc-a33b-0079dd1b1d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f10ec-e522-4b85-9e05-ab0aad99a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70200-01b3-43cc-a33b-0079dd1b1d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37D7C-022A-4600-9C91-077840831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f10ec-e522-4b85-9e05-ab0aad99ae7a"/>
    <ds:schemaRef ds:uri="00070200-01b3-43cc-a33b-0079dd1b1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F349E-13DA-4974-99AF-E60C2F568337}">
  <ds:schemaRefs>
    <ds:schemaRef ds:uri="http://schemas.microsoft.com/sharepoint/v3/contenttype/forms"/>
  </ds:schemaRefs>
</ds:datastoreItem>
</file>

<file path=customXml/itemProps3.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customXml/itemProps4.xml><?xml version="1.0" encoding="utf-8"?>
<ds:datastoreItem xmlns:ds="http://schemas.openxmlformats.org/officeDocument/2006/customXml" ds:itemID="{6DE9BE91-4DBA-4ECF-9440-2736AC5D4E79}">
  <ds:schemaRefs>
    <ds:schemaRef ds:uri="http://schemas.microsoft.com/office/infopath/2007/PartnerControls"/>
    <ds:schemaRef ds:uri="00070200-01b3-43cc-a33b-0079dd1b1de4"/>
    <ds:schemaRef ds:uri="http://purl.org/dc/terms/"/>
    <ds:schemaRef ds:uri="152f10ec-e522-4b85-9e05-ab0aad99ae7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8421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cp:lastModifiedBy>Andre Broers</cp:lastModifiedBy>
  <cp:revision>4</cp:revision>
  <cp:lastPrinted>2017-10-13T09:44:00Z</cp:lastPrinted>
  <dcterms:created xsi:type="dcterms:W3CDTF">2024-04-03T15:03:00Z</dcterms:created>
  <dcterms:modified xsi:type="dcterms:W3CDTF">2024-04-03T15:03:00Z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0x010100226E2AD55A6494498E215EB97C6FF1A8</vt:lpwstr>
  </property>
</Properties>
</file>