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ayout w:type="fixed"/>
        <w:tblLook w:val="04A0" w:firstRow="1" w:lastRow="0" w:firstColumn="1" w:lastColumn="0" w:noHBand="0" w:noVBand="1"/>
      </w:tblPr>
      <w:tblGrid>
        <w:gridCol w:w="7370"/>
        <w:gridCol w:w="6803"/>
      </w:tblGrid>
      <w:tr w:rsidR="00275DA7" w14:paraId="73DC828B" w14:textId="77777777" w:rsidTr="00275DA7">
        <w:tc>
          <w:tcPr>
            <w:tcW w:w="7370" w:type="dxa"/>
          </w:tcPr>
          <w:p w14:paraId="4EA7488C" w14:textId="1DC05D4C" w:rsidR="004213E0" w:rsidRDefault="004213E0" w:rsidP="0021255D">
            <w:pPr>
              <w:rPr>
                <w:rFonts w:ascii="Arial" w:hAnsi="Arial" w:cs="Arial"/>
                <w:sz w:val="20"/>
              </w:rPr>
            </w:pPr>
            <w:r>
              <w:rPr>
                <w:rFonts w:ascii="Arial" w:hAnsi="Arial" w:cs="Arial"/>
                <w:sz w:val="20"/>
              </w:rPr>
              <w:t>Nederlands</w:t>
            </w:r>
          </w:p>
        </w:tc>
        <w:tc>
          <w:tcPr>
            <w:tcW w:w="6803" w:type="dxa"/>
          </w:tcPr>
          <w:p w14:paraId="0296F25D" w14:textId="35FA333C" w:rsidR="004213E0" w:rsidRDefault="004213E0" w:rsidP="0021255D">
            <w:pPr>
              <w:rPr>
                <w:rFonts w:ascii="Arial" w:hAnsi="Arial" w:cs="Arial"/>
                <w:sz w:val="20"/>
              </w:rPr>
            </w:pPr>
            <w:r>
              <w:rPr>
                <w:rFonts w:ascii="Arial" w:hAnsi="Arial" w:cs="Arial"/>
                <w:sz w:val="20"/>
              </w:rPr>
              <w:t>Engels</w:t>
            </w:r>
          </w:p>
        </w:tc>
      </w:tr>
      <w:tr w:rsidR="004213E0" w:rsidRPr="00C6263E" w14:paraId="462C98F0" w14:textId="77777777" w:rsidTr="00275DA7">
        <w:tc>
          <w:tcPr>
            <w:tcW w:w="7370" w:type="dxa"/>
          </w:tcPr>
          <w:p w14:paraId="5112497D" w14:textId="77777777" w:rsidR="004213E0" w:rsidRPr="00712A00" w:rsidRDefault="004213E0" w:rsidP="004213E0">
            <w:pPr>
              <w:rPr>
                <w:rFonts w:ascii="Arial" w:hAnsi="Arial" w:cs="Arial"/>
                <w:b/>
                <w:bCs/>
                <w:szCs w:val="22"/>
              </w:rPr>
            </w:pPr>
            <w:r w:rsidRPr="00712A00">
              <w:rPr>
                <w:rFonts w:ascii="Arial" w:hAnsi="Arial" w:cs="Arial"/>
                <w:b/>
                <w:bCs/>
                <w:szCs w:val="22"/>
              </w:rPr>
              <w:t>Verklaring betreffende overige door wet- of regelgeving gestelde vereisten [indien van toepassing: en ESEF]</w:t>
            </w:r>
          </w:p>
          <w:p w14:paraId="50EA499A" w14:textId="77777777" w:rsidR="004213E0" w:rsidRDefault="004213E0" w:rsidP="00050A96">
            <w:pPr>
              <w:rPr>
                <w:rFonts w:ascii="Arial" w:hAnsi="Arial" w:cs="Arial"/>
                <w:sz w:val="20"/>
              </w:rPr>
            </w:pPr>
          </w:p>
        </w:tc>
        <w:tc>
          <w:tcPr>
            <w:tcW w:w="6803" w:type="dxa"/>
          </w:tcPr>
          <w:p w14:paraId="0283F557" w14:textId="77777777" w:rsidR="004213E0" w:rsidRPr="00712A00" w:rsidRDefault="004213E0" w:rsidP="004213E0">
            <w:pPr>
              <w:rPr>
                <w:rFonts w:ascii="Arial" w:hAnsi="Arial" w:cs="Arial"/>
                <w:b/>
                <w:bCs/>
                <w:szCs w:val="22"/>
                <w:lang w:val="en-GB"/>
              </w:rPr>
            </w:pPr>
            <w:r w:rsidRPr="00712A00">
              <w:rPr>
                <w:rFonts w:ascii="Arial" w:hAnsi="Arial" w:cs="Arial"/>
                <w:b/>
                <w:bCs/>
                <w:szCs w:val="22"/>
                <w:lang w:val="en-GB"/>
              </w:rPr>
              <w:t>Report on other legal and regulatory requirements [</w:t>
            </w:r>
            <w:proofErr w:type="spellStart"/>
            <w:r w:rsidRPr="00712A00">
              <w:rPr>
                <w:rFonts w:ascii="Arial" w:hAnsi="Arial" w:cs="Arial"/>
                <w:b/>
                <w:bCs/>
                <w:szCs w:val="22"/>
                <w:lang w:val="en-GB"/>
              </w:rPr>
              <w:t>indien</w:t>
            </w:r>
            <w:proofErr w:type="spellEnd"/>
            <w:r w:rsidRPr="00712A00">
              <w:rPr>
                <w:rFonts w:ascii="Arial" w:hAnsi="Arial" w:cs="Arial"/>
                <w:b/>
                <w:bCs/>
                <w:szCs w:val="22"/>
                <w:lang w:val="en-GB"/>
              </w:rPr>
              <w:t xml:space="preserve"> van </w:t>
            </w:r>
            <w:proofErr w:type="spellStart"/>
            <w:r w:rsidRPr="00712A00">
              <w:rPr>
                <w:rFonts w:ascii="Arial" w:hAnsi="Arial" w:cs="Arial"/>
                <w:b/>
                <w:bCs/>
                <w:szCs w:val="22"/>
                <w:lang w:val="en-GB"/>
              </w:rPr>
              <w:t>toepassing</w:t>
            </w:r>
            <w:proofErr w:type="spellEnd"/>
            <w:r w:rsidRPr="00712A00">
              <w:rPr>
                <w:rFonts w:ascii="Arial" w:hAnsi="Arial" w:cs="Arial"/>
                <w:b/>
                <w:bCs/>
                <w:szCs w:val="22"/>
                <w:lang w:val="en-GB"/>
              </w:rPr>
              <w:t>: and ESEF]</w:t>
            </w:r>
          </w:p>
          <w:p w14:paraId="47168657" w14:textId="77777777" w:rsidR="004213E0" w:rsidRPr="004213E0" w:rsidRDefault="004213E0" w:rsidP="00050A96">
            <w:pPr>
              <w:rPr>
                <w:rFonts w:ascii="Arial" w:hAnsi="Arial" w:cs="Arial"/>
                <w:sz w:val="20"/>
                <w:lang w:val="en-GB"/>
              </w:rPr>
            </w:pPr>
          </w:p>
        </w:tc>
      </w:tr>
      <w:tr w:rsidR="004213E0" w:rsidRPr="00C6263E" w14:paraId="0972771B" w14:textId="77777777" w:rsidTr="00275DA7">
        <w:tc>
          <w:tcPr>
            <w:tcW w:w="7370" w:type="dxa"/>
          </w:tcPr>
          <w:p w14:paraId="277EA0AA" w14:textId="77777777" w:rsidR="004213E0" w:rsidRDefault="004213E0" w:rsidP="004213E0">
            <w:pPr>
              <w:rPr>
                <w:rFonts w:ascii="Arial" w:hAnsi="Arial" w:cs="Arial"/>
                <w:sz w:val="20"/>
                <w:lang w:val="en-GB"/>
              </w:rPr>
            </w:pPr>
          </w:p>
          <w:p w14:paraId="2177B03D" w14:textId="407D71AC" w:rsidR="004213E0" w:rsidRPr="00D5316E" w:rsidRDefault="004213E0" w:rsidP="004213E0">
            <w:pPr>
              <w:rPr>
                <w:rFonts w:ascii="Arial" w:hAnsi="Arial" w:cs="Arial"/>
                <w:sz w:val="20"/>
                <w:lang w:val="en-GB"/>
              </w:rPr>
            </w:pPr>
            <w:r w:rsidRPr="00D5316E">
              <w:rPr>
                <w:rFonts w:ascii="Arial" w:hAnsi="Arial" w:cs="Arial"/>
                <w:sz w:val="20"/>
                <w:lang w:val="en-GB"/>
              </w:rPr>
              <w:t>[..]</w:t>
            </w:r>
          </w:p>
          <w:p w14:paraId="07B0C6BE" w14:textId="77777777" w:rsidR="004213E0" w:rsidRPr="00D5316E" w:rsidRDefault="004213E0" w:rsidP="004213E0">
            <w:pPr>
              <w:rPr>
                <w:rFonts w:ascii="Arial" w:hAnsi="Arial" w:cs="Arial"/>
                <w:sz w:val="20"/>
                <w:lang w:val="en-GB"/>
              </w:rPr>
            </w:pPr>
          </w:p>
          <w:p w14:paraId="23C50B71" w14:textId="77777777" w:rsidR="004213E0" w:rsidRPr="00851B6A" w:rsidRDefault="004213E0" w:rsidP="004213E0">
            <w:pPr>
              <w:rPr>
                <w:rFonts w:ascii="Arial" w:hAnsi="Arial" w:cs="Arial"/>
                <w:b/>
                <w:bCs/>
                <w:sz w:val="20"/>
                <w:lang w:val="en-GB"/>
              </w:rPr>
            </w:pPr>
            <w:proofErr w:type="spellStart"/>
            <w:r>
              <w:rPr>
                <w:rFonts w:ascii="Arial" w:hAnsi="Arial" w:cs="Arial"/>
                <w:b/>
                <w:bCs/>
                <w:sz w:val="20"/>
                <w:lang w:val="en-GB"/>
              </w:rPr>
              <w:t>Openbaarmaking</w:t>
            </w:r>
            <w:proofErr w:type="spellEnd"/>
            <w:r>
              <w:rPr>
                <w:rFonts w:ascii="Arial" w:hAnsi="Arial" w:cs="Arial"/>
                <w:b/>
                <w:bCs/>
                <w:sz w:val="20"/>
                <w:lang w:val="en-GB"/>
              </w:rPr>
              <w:t xml:space="preserve"> </w:t>
            </w:r>
            <w:proofErr w:type="spellStart"/>
            <w:r>
              <w:rPr>
                <w:rFonts w:ascii="Arial" w:hAnsi="Arial" w:cs="Arial"/>
                <w:b/>
                <w:bCs/>
                <w:sz w:val="20"/>
                <w:lang w:val="en-GB"/>
              </w:rPr>
              <w:t>v</w:t>
            </w:r>
            <w:r w:rsidRPr="00851B6A">
              <w:rPr>
                <w:rFonts w:ascii="Arial" w:hAnsi="Arial" w:cs="Arial"/>
                <w:b/>
                <w:bCs/>
                <w:sz w:val="20"/>
                <w:lang w:val="en-GB"/>
              </w:rPr>
              <w:t>erslag</w:t>
            </w:r>
            <w:proofErr w:type="spellEnd"/>
            <w:r w:rsidRPr="00851B6A">
              <w:rPr>
                <w:rFonts w:ascii="Arial" w:hAnsi="Arial" w:cs="Arial"/>
                <w:b/>
                <w:bCs/>
                <w:sz w:val="20"/>
                <w:lang w:val="en-GB"/>
              </w:rPr>
              <w:t xml:space="preserve"> </w:t>
            </w:r>
            <w:proofErr w:type="spellStart"/>
            <w:r w:rsidRPr="00851B6A">
              <w:rPr>
                <w:rFonts w:ascii="Arial" w:hAnsi="Arial" w:cs="Arial"/>
                <w:b/>
                <w:bCs/>
                <w:sz w:val="20"/>
                <w:lang w:val="en-GB"/>
              </w:rPr>
              <w:t>inzake</w:t>
            </w:r>
            <w:proofErr w:type="spellEnd"/>
            <w:r w:rsidRPr="00851B6A">
              <w:rPr>
                <w:rFonts w:ascii="Arial" w:hAnsi="Arial" w:cs="Arial"/>
                <w:b/>
                <w:bCs/>
                <w:sz w:val="20"/>
                <w:lang w:val="en-GB"/>
              </w:rPr>
              <w:t xml:space="preserve"> de </w:t>
            </w:r>
            <w:proofErr w:type="spellStart"/>
            <w:r w:rsidRPr="00851B6A">
              <w:rPr>
                <w:rFonts w:ascii="Arial" w:hAnsi="Arial" w:cs="Arial"/>
                <w:b/>
                <w:bCs/>
                <w:sz w:val="20"/>
                <w:lang w:val="en-GB"/>
              </w:rPr>
              <w:t>winstbelasting</w:t>
            </w:r>
            <w:proofErr w:type="spellEnd"/>
            <w:r w:rsidRPr="00851B6A">
              <w:rPr>
                <w:rFonts w:ascii="Arial" w:hAnsi="Arial" w:cs="Arial"/>
                <w:b/>
                <w:bCs/>
                <w:sz w:val="20"/>
                <w:lang w:val="en-GB"/>
              </w:rPr>
              <w:t xml:space="preserve"> (</w:t>
            </w:r>
            <w:bookmarkStart w:id="0" w:name="_Hlk203371695"/>
            <w:r w:rsidRPr="00851B6A">
              <w:rPr>
                <w:rFonts w:ascii="Arial" w:hAnsi="Arial" w:cs="Arial"/>
                <w:b/>
                <w:bCs/>
                <w:sz w:val="20"/>
                <w:lang w:val="en-GB"/>
              </w:rPr>
              <w:t>country-by-country reporting</w:t>
            </w:r>
            <w:bookmarkEnd w:id="0"/>
            <w:r w:rsidRPr="00851B6A">
              <w:rPr>
                <w:rFonts w:ascii="Arial" w:hAnsi="Arial" w:cs="Arial"/>
                <w:b/>
                <w:bCs/>
                <w:sz w:val="20"/>
                <w:lang w:val="en-GB"/>
              </w:rPr>
              <w:t>)</w:t>
            </w:r>
            <w:r w:rsidRPr="00851B6A">
              <w:rPr>
                <w:rStyle w:val="Voetnootmarkering"/>
                <w:rFonts w:ascii="Arial" w:hAnsi="Arial" w:cs="Arial"/>
                <w:b/>
                <w:bCs/>
                <w:sz w:val="20"/>
              </w:rPr>
              <w:footnoteReference w:id="2"/>
            </w:r>
          </w:p>
          <w:p w14:paraId="37F40727" w14:textId="77777777" w:rsidR="004213E0" w:rsidRPr="004213E0" w:rsidRDefault="004213E0" w:rsidP="00050A96">
            <w:pPr>
              <w:rPr>
                <w:rFonts w:ascii="Arial" w:hAnsi="Arial" w:cs="Arial"/>
                <w:sz w:val="20"/>
                <w:lang w:val="en-GB"/>
              </w:rPr>
            </w:pPr>
          </w:p>
        </w:tc>
        <w:tc>
          <w:tcPr>
            <w:tcW w:w="6803" w:type="dxa"/>
          </w:tcPr>
          <w:p w14:paraId="01B20286" w14:textId="77777777" w:rsidR="004213E0" w:rsidRDefault="004213E0" w:rsidP="004213E0">
            <w:pPr>
              <w:rPr>
                <w:rFonts w:ascii="Arial" w:hAnsi="Arial" w:cs="Arial"/>
                <w:sz w:val="20"/>
                <w:lang w:val="en-GB"/>
              </w:rPr>
            </w:pPr>
          </w:p>
          <w:p w14:paraId="57F57450" w14:textId="3FE650AE" w:rsidR="004213E0" w:rsidRDefault="004213E0" w:rsidP="004213E0">
            <w:pPr>
              <w:rPr>
                <w:rFonts w:ascii="Arial" w:hAnsi="Arial" w:cs="Arial"/>
                <w:sz w:val="20"/>
                <w:lang w:val="en-GB"/>
              </w:rPr>
            </w:pPr>
            <w:r>
              <w:rPr>
                <w:rFonts w:ascii="Arial" w:hAnsi="Arial" w:cs="Arial"/>
                <w:sz w:val="20"/>
                <w:lang w:val="en-GB"/>
              </w:rPr>
              <w:t>[..]</w:t>
            </w:r>
          </w:p>
          <w:p w14:paraId="7E7BF7C0" w14:textId="77777777" w:rsidR="004213E0" w:rsidRPr="00712A00" w:rsidRDefault="004213E0" w:rsidP="004213E0">
            <w:pPr>
              <w:rPr>
                <w:rFonts w:ascii="Arial" w:hAnsi="Arial" w:cs="Arial"/>
                <w:sz w:val="20"/>
                <w:lang w:val="en-GB"/>
              </w:rPr>
            </w:pPr>
          </w:p>
          <w:p w14:paraId="74DC8705" w14:textId="77777777" w:rsidR="004213E0" w:rsidRPr="00851B6A" w:rsidRDefault="004213E0" w:rsidP="004213E0">
            <w:pPr>
              <w:rPr>
                <w:rFonts w:ascii="Arial" w:hAnsi="Arial" w:cs="Arial"/>
                <w:b/>
                <w:bCs/>
                <w:sz w:val="20"/>
                <w:lang w:val="en-GB"/>
              </w:rPr>
            </w:pPr>
            <w:bookmarkStart w:id="1" w:name="_Hlk203371731"/>
            <w:r>
              <w:rPr>
                <w:rFonts w:ascii="Arial" w:hAnsi="Arial" w:cs="Arial"/>
                <w:b/>
                <w:bCs/>
                <w:sz w:val="20"/>
                <w:lang w:val="en-US"/>
              </w:rPr>
              <w:t>Public disclosure r</w:t>
            </w:r>
            <w:r w:rsidRPr="00851B6A">
              <w:rPr>
                <w:rFonts w:ascii="Arial" w:hAnsi="Arial" w:cs="Arial"/>
                <w:b/>
                <w:bCs/>
                <w:sz w:val="20"/>
                <w:lang w:val="en-US"/>
              </w:rPr>
              <w:t>eport on income tax information (country-by-country reporting)</w:t>
            </w:r>
            <w:bookmarkEnd w:id="1"/>
            <w:r w:rsidRPr="00851B6A">
              <w:rPr>
                <w:rStyle w:val="Voetnootmarkering"/>
                <w:rFonts w:ascii="Arial" w:hAnsi="Arial" w:cs="Arial"/>
                <w:b/>
                <w:bCs/>
                <w:sz w:val="20"/>
                <w:lang w:val="en-US"/>
              </w:rPr>
              <w:t xml:space="preserve"> </w:t>
            </w:r>
            <w:r w:rsidRPr="00851B6A">
              <w:rPr>
                <w:rStyle w:val="Voetnootmarkering"/>
                <w:rFonts w:ascii="Arial" w:hAnsi="Arial" w:cs="Arial"/>
                <w:b/>
                <w:bCs/>
                <w:sz w:val="20"/>
              </w:rPr>
              <w:footnoteReference w:id="3"/>
            </w:r>
          </w:p>
          <w:p w14:paraId="27C34673" w14:textId="77777777" w:rsidR="004213E0" w:rsidRPr="004213E0" w:rsidRDefault="004213E0" w:rsidP="00050A96">
            <w:pPr>
              <w:rPr>
                <w:rFonts w:ascii="Arial" w:hAnsi="Arial" w:cs="Arial"/>
                <w:sz w:val="20"/>
                <w:lang w:val="en-GB"/>
              </w:rPr>
            </w:pPr>
          </w:p>
        </w:tc>
      </w:tr>
      <w:tr w:rsidR="004213E0" w:rsidRPr="00C6263E" w14:paraId="38AEEBD3" w14:textId="77777777" w:rsidTr="00275DA7">
        <w:tc>
          <w:tcPr>
            <w:tcW w:w="7370" w:type="dxa"/>
          </w:tcPr>
          <w:p w14:paraId="261B3541" w14:textId="77777777" w:rsidR="004213E0" w:rsidRDefault="004213E0" w:rsidP="004213E0">
            <w:pPr>
              <w:rPr>
                <w:rFonts w:ascii="Arial" w:hAnsi="Arial" w:cs="Arial"/>
                <w:sz w:val="20"/>
              </w:rPr>
            </w:pPr>
            <w:r w:rsidRPr="00851B6A">
              <w:rPr>
                <w:rFonts w:ascii="Arial" w:hAnsi="Arial" w:cs="Arial"/>
                <w:sz w:val="20"/>
              </w:rPr>
              <w:t xml:space="preserve">Wij hebben vastgesteld dat het verslag </w:t>
            </w:r>
            <w:r>
              <w:rPr>
                <w:rFonts w:ascii="Arial" w:hAnsi="Arial" w:cs="Arial"/>
                <w:sz w:val="20"/>
              </w:rPr>
              <w:t xml:space="preserve">inzake de winstbelasting </w:t>
            </w:r>
            <w:r w:rsidRPr="00851B6A">
              <w:rPr>
                <w:rFonts w:ascii="Arial" w:hAnsi="Arial" w:cs="Arial"/>
                <w:sz w:val="20"/>
              </w:rPr>
              <w:t>over het voorgaande boekjaar JJJJ</w:t>
            </w:r>
            <w:r>
              <w:rPr>
                <w:rFonts w:ascii="Arial" w:hAnsi="Arial" w:cs="Arial"/>
                <w:sz w:val="20"/>
              </w:rPr>
              <w:t>-1</w:t>
            </w:r>
            <w:r w:rsidRPr="00851B6A">
              <w:rPr>
                <w:rFonts w:ascii="Arial" w:hAnsi="Arial" w:cs="Arial"/>
                <w:sz w:val="20"/>
              </w:rPr>
              <w:t xml:space="preserve"> [niet] openbaar is gemaakt door deponering bij het Handelsregister van de Kamer van Koophandel alsmede op de website van [naam entiteit(en)].]</w:t>
            </w:r>
            <w:r w:rsidRPr="007D3002">
              <w:rPr>
                <w:rStyle w:val="Voetnootmarkering"/>
                <w:rFonts w:ascii="Arial" w:hAnsi="Arial" w:cs="Arial"/>
                <w:b/>
                <w:bCs/>
                <w:sz w:val="20"/>
              </w:rPr>
              <w:t xml:space="preserve"> </w:t>
            </w:r>
            <w:r w:rsidRPr="00851B6A">
              <w:rPr>
                <w:rStyle w:val="Voetnootmarkering"/>
                <w:rFonts w:ascii="Arial" w:hAnsi="Arial" w:cs="Arial"/>
                <w:b/>
                <w:bCs/>
                <w:sz w:val="20"/>
              </w:rPr>
              <w:footnoteReference w:id="4"/>
            </w:r>
          </w:p>
          <w:p w14:paraId="7CD6B7C8" w14:textId="77777777" w:rsidR="004213E0" w:rsidRDefault="004213E0" w:rsidP="004213E0">
            <w:pPr>
              <w:rPr>
                <w:rFonts w:ascii="Arial" w:hAnsi="Arial" w:cs="Arial"/>
                <w:sz w:val="20"/>
              </w:rPr>
            </w:pPr>
            <w:r w:rsidRPr="00671085">
              <w:rPr>
                <w:rFonts w:ascii="Arial" w:hAnsi="Arial" w:cs="Arial"/>
                <w:sz w:val="20"/>
              </w:rPr>
              <w:t xml:space="preserve">Op grond van het Implementatiebesluit Richtlijn openbaarmaking winstbelasting </w:t>
            </w:r>
            <w:r>
              <w:rPr>
                <w:rFonts w:ascii="Arial" w:hAnsi="Arial" w:cs="Arial"/>
                <w:sz w:val="20"/>
              </w:rPr>
              <w:t xml:space="preserve">(hierna: Implementatiebesluit) </w:t>
            </w:r>
            <w:r w:rsidRPr="00671085">
              <w:rPr>
                <w:rFonts w:ascii="Arial" w:hAnsi="Arial" w:cs="Arial"/>
                <w:sz w:val="20"/>
              </w:rPr>
              <w:t>dienen wij uitsluitend te vermelden of [naam entiteit] verplicht was om binnen 12 maanden na afloop van het boekjaar een verslag inzake de winstbelasting openbaar te maken en zo ja, of het verslag in overeenstemming met artikel 11 van dit besluit openbaar is gemaakt.</w:t>
            </w:r>
            <w:r w:rsidRPr="00306478">
              <w:rPr>
                <w:rStyle w:val="Voetnootmarkering"/>
                <w:rFonts w:ascii="Arial" w:hAnsi="Arial" w:cs="Arial"/>
                <w:b/>
                <w:bCs/>
                <w:sz w:val="20"/>
              </w:rPr>
              <w:t xml:space="preserve"> </w:t>
            </w:r>
          </w:p>
          <w:p w14:paraId="54556433" w14:textId="77777777" w:rsidR="004213E0" w:rsidRDefault="004213E0" w:rsidP="004213E0">
            <w:pPr>
              <w:rPr>
                <w:rFonts w:ascii="Arial" w:hAnsi="Arial" w:cs="Arial"/>
                <w:sz w:val="20"/>
              </w:rPr>
            </w:pPr>
            <w:r w:rsidRPr="00851B6A">
              <w:rPr>
                <w:rFonts w:ascii="Arial" w:hAnsi="Arial" w:cs="Arial"/>
                <w:sz w:val="20"/>
              </w:rPr>
              <w:t xml:space="preserve">Op grond van het </w:t>
            </w:r>
            <w:r w:rsidRPr="00671085">
              <w:rPr>
                <w:rFonts w:ascii="Arial" w:hAnsi="Arial" w:cs="Arial"/>
                <w:sz w:val="20"/>
              </w:rPr>
              <w:t xml:space="preserve">Implementatiebesluit </w:t>
            </w:r>
            <w:r w:rsidRPr="00851B6A">
              <w:rPr>
                <w:rFonts w:ascii="Arial" w:hAnsi="Arial" w:cs="Arial"/>
                <w:sz w:val="20"/>
              </w:rPr>
              <w:t xml:space="preserve">is [naam entiteit] </w:t>
            </w:r>
            <w:r>
              <w:rPr>
                <w:rFonts w:ascii="Arial" w:hAnsi="Arial" w:cs="Arial"/>
                <w:sz w:val="20"/>
              </w:rPr>
              <w:t xml:space="preserve">hiertoe </w:t>
            </w:r>
            <w:r w:rsidRPr="00851B6A">
              <w:rPr>
                <w:rFonts w:ascii="Arial" w:hAnsi="Arial" w:cs="Arial"/>
                <w:sz w:val="20"/>
              </w:rPr>
              <w:t>[niet</w:t>
            </w:r>
            <w:r w:rsidRPr="00851B6A">
              <w:rPr>
                <w:rStyle w:val="Voetnootmarkering"/>
                <w:rFonts w:ascii="Arial" w:hAnsi="Arial" w:cs="Arial"/>
                <w:sz w:val="20"/>
              </w:rPr>
              <w:footnoteReference w:id="5"/>
            </w:r>
            <w:r w:rsidRPr="00851B6A">
              <w:rPr>
                <w:rFonts w:ascii="Arial" w:hAnsi="Arial" w:cs="Arial"/>
                <w:sz w:val="20"/>
              </w:rPr>
              <w:t>] verplicht.</w:t>
            </w:r>
          </w:p>
          <w:p w14:paraId="07500BAC" w14:textId="77777777" w:rsidR="004213E0" w:rsidRPr="004213E0" w:rsidRDefault="004213E0" w:rsidP="00050A96">
            <w:pPr>
              <w:rPr>
                <w:rFonts w:ascii="Arial" w:hAnsi="Arial" w:cs="Arial"/>
                <w:sz w:val="20"/>
              </w:rPr>
            </w:pPr>
          </w:p>
        </w:tc>
        <w:tc>
          <w:tcPr>
            <w:tcW w:w="6803" w:type="dxa"/>
          </w:tcPr>
          <w:p w14:paraId="31C95906" w14:textId="77777777" w:rsidR="00FF27D1" w:rsidRDefault="00FF27D1" w:rsidP="00FF27D1">
            <w:pPr>
              <w:rPr>
                <w:rFonts w:ascii="Arial" w:hAnsi="Arial" w:cs="Arial"/>
                <w:b/>
                <w:bCs/>
                <w:sz w:val="20"/>
                <w:lang w:val="en-GB"/>
              </w:rPr>
            </w:pPr>
            <w:r w:rsidRPr="00851B6A">
              <w:rPr>
                <w:rFonts w:ascii="Arial" w:hAnsi="Arial" w:cs="Arial"/>
                <w:sz w:val="20"/>
                <w:lang w:val="en-US"/>
              </w:rPr>
              <w:t xml:space="preserve">We have determined that the report </w:t>
            </w:r>
            <w:r>
              <w:rPr>
                <w:rFonts w:ascii="Arial" w:hAnsi="Arial" w:cs="Arial"/>
                <w:sz w:val="20"/>
                <w:lang w:val="en-US"/>
              </w:rPr>
              <w:t xml:space="preserve">on income tax information </w:t>
            </w:r>
            <w:r w:rsidRPr="00851B6A">
              <w:rPr>
                <w:rFonts w:ascii="Arial" w:hAnsi="Arial" w:cs="Arial"/>
                <w:sz w:val="20"/>
                <w:lang w:val="en-US"/>
              </w:rPr>
              <w:t>for the preceding financial year JJJJ</w:t>
            </w:r>
            <w:r>
              <w:rPr>
                <w:rFonts w:ascii="Arial" w:hAnsi="Arial" w:cs="Arial"/>
                <w:sz w:val="20"/>
                <w:lang w:val="en-US"/>
              </w:rPr>
              <w:t>-1</w:t>
            </w:r>
            <w:r w:rsidRPr="00851B6A">
              <w:rPr>
                <w:rFonts w:ascii="Arial" w:hAnsi="Arial" w:cs="Arial"/>
                <w:sz w:val="20"/>
                <w:lang w:val="en-US"/>
              </w:rPr>
              <w:t xml:space="preserve"> has [not] been published through filing with the Chamber of Commerce and on the website of [naam </w:t>
            </w:r>
            <w:proofErr w:type="spellStart"/>
            <w:r w:rsidRPr="00851B6A">
              <w:rPr>
                <w:rFonts w:ascii="Arial" w:hAnsi="Arial" w:cs="Arial"/>
                <w:sz w:val="20"/>
                <w:lang w:val="en-US"/>
              </w:rPr>
              <w:t>entiteit</w:t>
            </w:r>
            <w:proofErr w:type="spellEnd"/>
            <w:r w:rsidRPr="00851B6A">
              <w:rPr>
                <w:rFonts w:ascii="Arial" w:hAnsi="Arial" w:cs="Arial"/>
                <w:sz w:val="20"/>
                <w:lang w:val="en-US"/>
              </w:rPr>
              <w:t>(</w:t>
            </w:r>
            <w:proofErr w:type="spellStart"/>
            <w:r w:rsidRPr="00851B6A">
              <w:rPr>
                <w:rFonts w:ascii="Arial" w:hAnsi="Arial" w:cs="Arial"/>
                <w:sz w:val="20"/>
                <w:lang w:val="en-US"/>
              </w:rPr>
              <w:t>en</w:t>
            </w:r>
            <w:proofErr w:type="spellEnd"/>
            <w:r w:rsidRPr="00851B6A">
              <w:rPr>
                <w:rFonts w:ascii="Arial" w:hAnsi="Arial" w:cs="Arial"/>
                <w:sz w:val="20"/>
                <w:lang w:val="en-US"/>
              </w:rPr>
              <w:t>)].]</w:t>
            </w:r>
            <w:r w:rsidRPr="00851B6A">
              <w:rPr>
                <w:rStyle w:val="Voetnootmarkering"/>
                <w:rFonts w:ascii="Arial" w:hAnsi="Arial" w:cs="Arial"/>
                <w:b/>
                <w:bCs/>
                <w:sz w:val="20"/>
                <w:lang w:val="en-GB"/>
              </w:rPr>
              <w:t xml:space="preserve"> </w:t>
            </w:r>
            <w:r w:rsidRPr="00851B6A">
              <w:rPr>
                <w:rStyle w:val="Voetnootmarkering"/>
                <w:rFonts w:ascii="Arial" w:hAnsi="Arial" w:cs="Arial"/>
                <w:b/>
                <w:bCs/>
                <w:sz w:val="20"/>
              </w:rPr>
              <w:footnoteReference w:id="6"/>
            </w:r>
          </w:p>
          <w:p w14:paraId="146906DC" w14:textId="19C1818F" w:rsidR="00FF27D1" w:rsidRPr="00FF27D1" w:rsidRDefault="00FF27D1" w:rsidP="00FF27D1">
            <w:pPr>
              <w:rPr>
                <w:rFonts w:ascii="Arial" w:hAnsi="Arial" w:cs="Arial"/>
                <w:sz w:val="20"/>
                <w:lang w:val="en-GB"/>
              </w:rPr>
            </w:pPr>
            <w:r w:rsidRPr="00851B6A">
              <w:rPr>
                <w:rFonts w:ascii="Arial" w:hAnsi="Arial" w:cs="Arial"/>
                <w:sz w:val="20"/>
                <w:lang w:val="en-US"/>
              </w:rPr>
              <w:t xml:space="preserve">Pursuant to the </w:t>
            </w:r>
            <w:proofErr w:type="spellStart"/>
            <w:r w:rsidRPr="00851B6A">
              <w:rPr>
                <w:rFonts w:ascii="Arial" w:hAnsi="Arial" w:cs="Arial"/>
                <w:sz w:val="20"/>
                <w:lang w:val="en-US"/>
              </w:rPr>
              <w:t>Implementatiebesluit</w:t>
            </w:r>
            <w:proofErr w:type="spellEnd"/>
            <w:r w:rsidRPr="00851B6A">
              <w:rPr>
                <w:rFonts w:ascii="Arial" w:hAnsi="Arial" w:cs="Arial"/>
                <w:sz w:val="20"/>
                <w:lang w:val="en-US"/>
              </w:rPr>
              <w:t xml:space="preserve"> </w:t>
            </w:r>
            <w:proofErr w:type="spellStart"/>
            <w:r w:rsidRPr="00851B6A">
              <w:rPr>
                <w:rFonts w:ascii="Arial" w:hAnsi="Arial" w:cs="Arial"/>
                <w:sz w:val="20"/>
                <w:lang w:val="en-US"/>
              </w:rPr>
              <w:t>Richtlijn</w:t>
            </w:r>
            <w:proofErr w:type="spellEnd"/>
            <w:r w:rsidRPr="00851B6A">
              <w:rPr>
                <w:rFonts w:ascii="Arial" w:hAnsi="Arial" w:cs="Arial"/>
                <w:sz w:val="20"/>
                <w:lang w:val="en-US"/>
              </w:rPr>
              <w:t xml:space="preserve"> </w:t>
            </w:r>
            <w:proofErr w:type="spellStart"/>
            <w:r w:rsidRPr="00851B6A">
              <w:rPr>
                <w:rFonts w:ascii="Arial" w:hAnsi="Arial" w:cs="Arial"/>
                <w:sz w:val="20"/>
                <w:lang w:val="en-US"/>
              </w:rPr>
              <w:t>openbaarmaking</w:t>
            </w:r>
            <w:proofErr w:type="spellEnd"/>
            <w:r w:rsidRPr="00851B6A">
              <w:rPr>
                <w:rFonts w:ascii="Arial" w:hAnsi="Arial" w:cs="Arial"/>
                <w:sz w:val="20"/>
                <w:lang w:val="en-US"/>
              </w:rPr>
              <w:t xml:space="preserve"> </w:t>
            </w:r>
            <w:proofErr w:type="spellStart"/>
            <w:r w:rsidRPr="00851B6A">
              <w:rPr>
                <w:rFonts w:ascii="Arial" w:hAnsi="Arial" w:cs="Arial"/>
                <w:sz w:val="20"/>
                <w:lang w:val="en-US"/>
              </w:rPr>
              <w:t>winstbelasting</w:t>
            </w:r>
            <w:proofErr w:type="spellEnd"/>
            <w:r w:rsidRPr="00851B6A">
              <w:rPr>
                <w:rFonts w:ascii="Arial" w:hAnsi="Arial" w:cs="Arial"/>
                <w:sz w:val="20"/>
                <w:lang w:val="en-US"/>
              </w:rPr>
              <w:t xml:space="preserve"> (Decree transposing the Directive on disclosure of income tax information)</w:t>
            </w:r>
            <w:r>
              <w:rPr>
                <w:rFonts w:ascii="Arial" w:hAnsi="Arial" w:cs="Arial"/>
                <w:sz w:val="20"/>
                <w:lang w:val="en-US"/>
              </w:rPr>
              <w:t xml:space="preserve"> </w:t>
            </w:r>
            <w:r w:rsidRPr="00851B6A">
              <w:rPr>
                <w:rFonts w:ascii="Arial" w:hAnsi="Arial" w:cs="Arial"/>
                <w:sz w:val="20"/>
                <w:lang w:val="en-US"/>
              </w:rPr>
              <w:t xml:space="preserve">we are solely required to </w:t>
            </w:r>
            <w:r>
              <w:rPr>
                <w:rFonts w:ascii="Arial" w:hAnsi="Arial" w:cs="Arial"/>
                <w:sz w:val="20"/>
                <w:lang w:val="en-US"/>
              </w:rPr>
              <w:t>state</w:t>
            </w:r>
            <w:r w:rsidRPr="00851B6A">
              <w:rPr>
                <w:rFonts w:ascii="Arial" w:hAnsi="Arial" w:cs="Arial"/>
                <w:sz w:val="20"/>
                <w:lang w:val="en-US"/>
              </w:rPr>
              <w:t xml:space="preserve"> whether [naam </w:t>
            </w:r>
            <w:proofErr w:type="spellStart"/>
            <w:r w:rsidRPr="00851B6A">
              <w:rPr>
                <w:rFonts w:ascii="Arial" w:hAnsi="Arial" w:cs="Arial"/>
                <w:sz w:val="20"/>
                <w:lang w:val="en-US"/>
              </w:rPr>
              <w:t>entiteit</w:t>
            </w:r>
            <w:proofErr w:type="spellEnd"/>
            <w:r w:rsidRPr="00851B6A">
              <w:rPr>
                <w:rFonts w:ascii="Arial" w:hAnsi="Arial" w:cs="Arial"/>
                <w:sz w:val="20"/>
                <w:lang w:val="en-US"/>
              </w:rPr>
              <w:t xml:space="preserve">] was required to publish within 12 months after financial year-end a report on income tax information and if so, whether the report was published in accordance with Article 11 of the Decree. Based on </w:t>
            </w:r>
            <w:r>
              <w:rPr>
                <w:rFonts w:ascii="Arial" w:hAnsi="Arial" w:cs="Arial"/>
                <w:sz w:val="20"/>
                <w:lang w:val="en-US"/>
              </w:rPr>
              <w:t xml:space="preserve">the aforementioned Decree </w:t>
            </w:r>
            <w:r w:rsidRPr="00851B6A">
              <w:rPr>
                <w:rFonts w:ascii="Arial" w:hAnsi="Arial" w:cs="Arial"/>
                <w:sz w:val="20"/>
                <w:lang w:val="en-US"/>
              </w:rPr>
              <w:t xml:space="preserve">[naam </w:t>
            </w:r>
            <w:proofErr w:type="spellStart"/>
            <w:r w:rsidRPr="00851B6A">
              <w:rPr>
                <w:rFonts w:ascii="Arial" w:hAnsi="Arial" w:cs="Arial"/>
                <w:sz w:val="20"/>
                <w:lang w:val="en-US"/>
              </w:rPr>
              <w:t>entiteit</w:t>
            </w:r>
            <w:proofErr w:type="spellEnd"/>
            <w:r w:rsidRPr="00851B6A">
              <w:rPr>
                <w:rFonts w:ascii="Arial" w:hAnsi="Arial" w:cs="Arial"/>
                <w:sz w:val="20"/>
                <w:lang w:val="en-US"/>
              </w:rPr>
              <w:t>] is [not</w:t>
            </w:r>
            <w:r w:rsidRPr="00851B6A">
              <w:rPr>
                <w:rStyle w:val="Voetnootmarkering"/>
                <w:rFonts w:ascii="Arial" w:hAnsi="Arial" w:cs="Arial"/>
                <w:sz w:val="20"/>
              </w:rPr>
              <w:footnoteReference w:id="7"/>
            </w:r>
            <w:r w:rsidRPr="00851B6A">
              <w:rPr>
                <w:rFonts w:ascii="Arial" w:hAnsi="Arial" w:cs="Arial"/>
                <w:sz w:val="20"/>
                <w:lang w:val="en-US"/>
              </w:rPr>
              <w:t xml:space="preserve">] required to publicly disclose </w:t>
            </w:r>
            <w:r>
              <w:rPr>
                <w:rFonts w:ascii="Arial" w:hAnsi="Arial" w:cs="Arial"/>
                <w:sz w:val="20"/>
                <w:lang w:val="en-US"/>
              </w:rPr>
              <w:t xml:space="preserve">such </w:t>
            </w:r>
            <w:r w:rsidRPr="00851B6A">
              <w:rPr>
                <w:rFonts w:ascii="Arial" w:hAnsi="Arial" w:cs="Arial"/>
                <w:sz w:val="20"/>
                <w:lang w:val="en-US"/>
              </w:rPr>
              <w:t>a report</w:t>
            </w:r>
            <w:r>
              <w:rPr>
                <w:rFonts w:ascii="Arial" w:hAnsi="Arial" w:cs="Arial"/>
                <w:sz w:val="20"/>
                <w:lang w:val="en-US"/>
              </w:rPr>
              <w:t>.</w:t>
            </w:r>
            <w:r w:rsidRPr="00851B6A">
              <w:rPr>
                <w:rFonts w:ascii="Arial" w:hAnsi="Arial" w:cs="Arial"/>
                <w:sz w:val="20"/>
                <w:lang w:val="en-US"/>
              </w:rPr>
              <w:t>.</w:t>
            </w:r>
          </w:p>
          <w:p w14:paraId="24DC7631" w14:textId="77777777" w:rsidR="004213E0" w:rsidRPr="00FF27D1" w:rsidRDefault="004213E0" w:rsidP="00050A96">
            <w:pPr>
              <w:rPr>
                <w:rFonts w:ascii="Arial" w:hAnsi="Arial" w:cs="Arial"/>
                <w:sz w:val="20"/>
                <w:lang w:val="en-GB"/>
              </w:rPr>
            </w:pPr>
          </w:p>
        </w:tc>
      </w:tr>
    </w:tbl>
    <w:p w14:paraId="36D8F137" w14:textId="77777777" w:rsidR="00851B6A" w:rsidRPr="00851B6A" w:rsidRDefault="00851B6A" w:rsidP="00851B6A">
      <w:pPr>
        <w:rPr>
          <w:rFonts w:ascii="Arial" w:hAnsi="Arial" w:cs="Arial"/>
          <w:sz w:val="20"/>
          <w:lang w:val="en-US"/>
        </w:rPr>
      </w:pPr>
    </w:p>
    <w:sectPr w:rsidR="00851B6A" w:rsidRPr="00851B6A" w:rsidSect="00C6263E">
      <w:footerReference w:type="even" r:id="rId10"/>
      <w:footerReference w:type="default" r:id="rId11"/>
      <w:headerReference w:type="first" r:id="rId12"/>
      <w:pgSz w:w="16838" w:h="11906" w:orient="landscape" w:code="9"/>
      <w:pgMar w:top="1021" w:right="851" w:bottom="851" w:left="102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BFB2D" w14:textId="77777777" w:rsidR="00181CA0" w:rsidRDefault="00181CA0">
      <w:r>
        <w:separator/>
      </w:r>
    </w:p>
  </w:endnote>
  <w:endnote w:type="continuationSeparator" w:id="0">
    <w:p w14:paraId="758B1603" w14:textId="77777777" w:rsidR="00181CA0" w:rsidRDefault="00181CA0">
      <w:r>
        <w:continuationSeparator/>
      </w:r>
    </w:p>
  </w:endnote>
  <w:endnote w:type="continuationNotice" w:id="1">
    <w:p w14:paraId="4FE12E9D" w14:textId="77777777" w:rsidR="00181CA0" w:rsidRDefault="00181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BBB3" w14:textId="13F39D1E" w:rsidR="00865AF2" w:rsidRDefault="00B93A9A" w:rsidP="00B6369D">
    <w:pPr>
      <w:pStyle w:val="Voettekst"/>
    </w:pPr>
    <w:r>
      <w:rPr>
        <w:noProof/>
      </w:rPr>
      <mc:AlternateContent>
        <mc:Choice Requires="wps">
          <w:drawing>
            <wp:anchor distT="0" distB="0" distL="114300" distR="114300" simplePos="0" relativeHeight="251658240" behindDoc="0" locked="0" layoutInCell="0" allowOverlap="1" wp14:anchorId="0FD117C8" wp14:editId="09B2304D">
              <wp:simplePos x="0" y="0"/>
              <wp:positionH relativeFrom="page">
                <wp:posOffset>672465</wp:posOffset>
              </wp:positionH>
              <wp:positionV relativeFrom="page">
                <wp:posOffset>10067925</wp:posOffset>
              </wp:positionV>
              <wp:extent cx="762000" cy="379730"/>
              <wp:effectExtent l="0" t="0" r="0" b="0"/>
              <wp:wrapNone/>
              <wp:docPr id="48081963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97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4A408B2" w14:textId="77777777" w:rsidR="00865AF2" w:rsidRPr="00D32A47" w:rsidRDefault="00865AF2" w:rsidP="00865AF2">
                          <w:pPr>
                            <w:rPr>
                              <w:rFonts w:ascii="Arial" w:hAnsi="Arial" w:cs="Arial"/>
                              <w:sz w:val="18"/>
                              <w:szCs w:val="18"/>
                            </w:rPr>
                          </w:pPr>
                          <w:r w:rsidRPr="00D32A47">
                            <w:rPr>
                              <w:rFonts w:ascii="Arial" w:hAnsi="Arial" w:cs="Arial"/>
                              <w:sz w:val="18"/>
                              <w:szCs w:val="18"/>
                            </w:rPr>
                            <w:fldChar w:fldCharType="begin"/>
                          </w:r>
                          <w:r w:rsidRPr="00D32A47">
                            <w:rPr>
                              <w:rFonts w:ascii="Arial" w:hAnsi="Arial" w:cs="Arial"/>
                              <w:sz w:val="18"/>
                              <w:szCs w:val="18"/>
                            </w:rPr>
                            <w:instrText>PAGE  \* MERGEFORMAT</w:instrText>
                          </w:r>
                          <w:r w:rsidRPr="00D32A47">
                            <w:rPr>
                              <w:rFonts w:ascii="Arial" w:hAnsi="Arial" w:cs="Arial"/>
                              <w:sz w:val="18"/>
                              <w:szCs w:val="18"/>
                            </w:rPr>
                            <w:fldChar w:fldCharType="separate"/>
                          </w:r>
                          <w:r w:rsidR="006829D9">
                            <w:rPr>
                              <w:rFonts w:ascii="Arial" w:hAnsi="Arial" w:cs="Arial"/>
                              <w:noProof/>
                              <w:sz w:val="18"/>
                              <w:szCs w:val="18"/>
                            </w:rPr>
                            <w:t>2</w:t>
                          </w:r>
                          <w:r w:rsidRPr="00D32A47">
                            <w:rPr>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117C8" id="Rechthoek 9" o:spid="_x0000_s1026" style="position:absolute;margin-left:52.95pt;margin-top:792.75pt;width:60pt;height:2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" o:allowincell="f" stroked="f">
              <v:textbox>
                <w:txbxContent>
                  <w:p w14:paraId="64A408B2" w14:textId="77777777" w:rsidR="00865AF2" w:rsidRPr="00D32A47" w:rsidRDefault="00865AF2" w:rsidP="00865AF2">
                    <w:pPr>
                      <w:rPr>
                        <w:rFonts w:ascii="Arial" w:hAnsi="Arial" w:cs="Arial"/>
                        <w:sz w:val="18"/>
                        <w:szCs w:val="18"/>
                      </w:rPr>
                    </w:pPr>
                    <w:r w:rsidRPr="00D32A47">
                      <w:rPr>
                        <w:rFonts w:ascii="Arial" w:hAnsi="Arial" w:cs="Arial"/>
                        <w:sz w:val="18"/>
                        <w:szCs w:val="18"/>
                      </w:rPr>
                      <w:fldChar w:fldCharType="begin"/>
                    </w:r>
                    <w:r w:rsidRPr="00D32A47">
                      <w:rPr>
                        <w:rFonts w:ascii="Arial" w:hAnsi="Arial" w:cs="Arial"/>
                        <w:sz w:val="18"/>
                        <w:szCs w:val="18"/>
                      </w:rPr>
                      <w:instrText>PAGE  \* MERGEFORMAT</w:instrText>
                    </w:r>
                    <w:r w:rsidRPr="00D32A47">
                      <w:rPr>
                        <w:rFonts w:ascii="Arial" w:hAnsi="Arial" w:cs="Arial"/>
                        <w:sz w:val="18"/>
                        <w:szCs w:val="18"/>
                      </w:rPr>
                      <w:fldChar w:fldCharType="separate"/>
                    </w:r>
                    <w:r w:rsidR="006829D9">
                      <w:rPr>
                        <w:rFonts w:ascii="Arial" w:hAnsi="Arial" w:cs="Arial"/>
                        <w:noProof/>
                        <w:sz w:val="18"/>
                        <w:szCs w:val="18"/>
                      </w:rPr>
                      <w:t>2</w:t>
                    </w:r>
                    <w:r w:rsidRPr="00D32A47">
                      <w:rPr>
                        <w:rFonts w:ascii="Arial" w:hAnsi="Arial" w:cs="Arial"/>
                        <w:sz w:val="18"/>
                        <w:szCs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B3ABB" w14:textId="2093E08E" w:rsidR="00865AF2" w:rsidRDefault="00B93A9A" w:rsidP="00B6369D">
    <w:pPr>
      <w:pStyle w:val="Voettekst"/>
    </w:pPr>
    <w:r>
      <w:rPr>
        <w:noProof/>
      </w:rPr>
      <mc:AlternateContent>
        <mc:Choice Requires="wps">
          <w:drawing>
            <wp:anchor distT="0" distB="0" distL="114300" distR="114300" simplePos="0" relativeHeight="251658241" behindDoc="0" locked="0" layoutInCell="0" allowOverlap="1" wp14:anchorId="638A0C86" wp14:editId="4CA63D8B">
              <wp:simplePos x="0" y="0"/>
              <wp:positionH relativeFrom="page">
                <wp:posOffset>6558280</wp:posOffset>
              </wp:positionH>
              <wp:positionV relativeFrom="page">
                <wp:posOffset>10066020</wp:posOffset>
              </wp:positionV>
              <wp:extent cx="762000" cy="379730"/>
              <wp:effectExtent l="0" t="0" r="0" b="0"/>
              <wp:wrapNone/>
              <wp:docPr id="55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97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F5F6205" w14:textId="77777777" w:rsidR="00865AF2" w:rsidRPr="00D32A47" w:rsidRDefault="00865AF2" w:rsidP="00865AF2">
                          <w:pPr>
                            <w:rPr>
                              <w:rFonts w:ascii="Arial" w:hAnsi="Arial" w:cs="Arial"/>
                              <w:sz w:val="18"/>
                              <w:szCs w:val="18"/>
                            </w:rPr>
                          </w:pPr>
                          <w:r w:rsidRPr="00D32A47">
                            <w:rPr>
                              <w:rFonts w:ascii="Arial" w:hAnsi="Arial" w:cs="Arial"/>
                              <w:sz w:val="18"/>
                              <w:szCs w:val="18"/>
                            </w:rPr>
                            <w:fldChar w:fldCharType="begin"/>
                          </w:r>
                          <w:r w:rsidRPr="00D32A47">
                            <w:rPr>
                              <w:rFonts w:ascii="Arial" w:hAnsi="Arial" w:cs="Arial"/>
                              <w:sz w:val="18"/>
                              <w:szCs w:val="18"/>
                            </w:rPr>
                            <w:instrText>PAGE  \* MERGEFORMAT</w:instrText>
                          </w:r>
                          <w:r w:rsidRPr="00D32A47">
                            <w:rPr>
                              <w:rFonts w:ascii="Arial" w:hAnsi="Arial" w:cs="Arial"/>
                              <w:sz w:val="18"/>
                              <w:szCs w:val="18"/>
                            </w:rPr>
                            <w:fldChar w:fldCharType="separate"/>
                          </w:r>
                          <w:r w:rsidR="006829D9">
                            <w:rPr>
                              <w:rFonts w:ascii="Arial" w:hAnsi="Arial" w:cs="Arial"/>
                              <w:noProof/>
                              <w:sz w:val="18"/>
                              <w:szCs w:val="18"/>
                            </w:rPr>
                            <w:t>3</w:t>
                          </w:r>
                          <w:r w:rsidRPr="00D32A47">
                            <w:rPr>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A0C86" id="_x0000_s1027" style="position:absolute;margin-left:516.4pt;margin-top:792.6pt;width:60pt;height:29.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" o:allowincell="f" stroked="f">
              <v:textbox>
                <w:txbxContent>
                  <w:p w14:paraId="6F5F6205" w14:textId="77777777" w:rsidR="00865AF2" w:rsidRPr="00D32A47" w:rsidRDefault="00865AF2" w:rsidP="00865AF2">
                    <w:pPr>
                      <w:rPr>
                        <w:rFonts w:ascii="Arial" w:hAnsi="Arial" w:cs="Arial"/>
                        <w:sz w:val="18"/>
                        <w:szCs w:val="18"/>
                      </w:rPr>
                    </w:pPr>
                    <w:r w:rsidRPr="00D32A47">
                      <w:rPr>
                        <w:rFonts w:ascii="Arial" w:hAnsi="Arial" w:cs="Arial"/>
                        <w:sz w:val="18"/>
                        <w:szCs w:val="18"/>
                      </w:rPr>
                      <w:fldChar w:fldCharType="begin"/>
                    </w:r>
                    <w:r w:rsidRPr="00D32A47">
                      <w:rPr>
                        <w:rFonts w:ascii="Arial" w:hAnsi="Arial" w:cs="Arial"/>
                        <w:sz w:val="18"/>
                        <w:szCs w:val="18"/>
                      </w:rPr>
                      <w:instrText>PAGE  \* MERGEFORMAT</w:instrText>
                    </w:r>
                    <w:r w:rsidRPr="00D32A47">
                      <w:rPr>
                        <w:rFonts w:ascii="Arial" w:hAnsi="Arial" w:cs="Arial"/>
                        <w:sz w:val="18"/>
                        <w:szCs w:val="18"/>
                      </w:rPr>
                      <w:fldChar w:fldCharType="separate"/>
                    </w:r>
                    <w:r w:rsidR="006829D9">
                      <w:rPr>
                        <w:rFonts w:ascii="Arial" w:hAnsi="Arial" w:cs="Arial"/>
                        <w:noProof/>
                        <w:sz w:val="18"/>
                        <w:szCs w:val="18"/>
                      </w:rPr>
                      <w:t>3</w:t>
                    </w:r>
                    <w:r w:rsidRPr="00D32A47">
                      <w:rPr>
                        <w:rFonts w:ascii="Arial" w:hAnsi="Arial" w:cs="Arial"/>
                        <w:sz w:val="18"/>
                        <w:szCs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4515A" w14:textId="77777777" w:rsidR="00181CA0" w:rsidRDefault="00181CA0">
      <w:r>
        <w:separator/>
      </w:r>
    </w:p>
  </w:footnote>
  <w:footnote w:type="continuationSeparator" w:id="0">
    <w:p w14:paraId="30BCB605" w14:textId="77777777" w:rsidR="00181CA0" w:rsidRDefault="00181CA0">
      <w:r>
        <w:continuationSeparator/>
      </w:r>
    </w:p>
  </w:footnote>
  <w:footnote w:type="continuationNotice" w:id="1">
    <w:p w14:paraId="53138830" w14:textId="77777777" w:rsidR="00181CA0" w:rsidRDefault="00181CA0"/>
  </w:footnote>
  <w:footnote w:id="2">
    <w:p w14:paraId="5954AC2A" w14:textId="77777777" w:rsidR="004213E0" w:rsidRPr="00851B6A" w:rsidRDefault="004213E0" w:rsidP="004213E0">
      <w:pPr>
        <w:pStyle w:val="Voetnoottekst"/>
        <w:rPr>
          <w:rFonts w:ascii="Arial" w:hAnsi="Arial" w:cs="Arial"/>
          <w:sz w:val="16"/>
          <w:szCs w:val="16"/>
          <w:lang w:val="nl-NL"/>
        </w:rPr>
      </w:pPr>
      <w:r w:rsidRPr="00851B6A">
        <w:rPr>
          <w:rStyle w:val="Voetnootmarkering"/>
          <w:rFonts w:ascii="Arial" w:hAnsi="Arial" w:cs="Arial"/>
          <w:sz w:val="16"/>
          <w:szCs w:val="16"/>
        </w:rPr>
        <w:footnoteRef/>
      </w:r>
      <w:r w:rsidRPr="00851B6A">
        <w:rPr>
          <w:rFonts w:ascii="Arial" w:hAnsi="Arial" w:cs="Arial"/>
          <w:sz w:val="16"/>
          <w:szCs w:val="16"/>
          <w:lang w:val="nl-NL"/>
        </w:rPr>
        <w:t xml:space="preserve"> De sectie “</w:t>
      </w:r>
      <w:r>
        <w:rPr>
          <w:rFonts w:ascii="Arial" w:hAnsi="Arial" w:cs="Arial"/>
          <w:sz w:val="16"/>
          <w:szCs w:val="16"/>
          <w:lang w:val="nl-NL"/>
        </w:rPr>
        <w:t>Openbaarmaking v</w:t>
      </w:r>
      <w:r w:rsidRPr="00851B6A">
        <w:rPr>
          <w:rFonts w:ascii="Arial" w:hAnsi="Arial" w:cs="Arial"/>
          <w:sz w:val="16"/>
          <w:szCs w:val="16"/>
          <w:lang w:val="nl-NL"/>
        </w:rPr>
        <w:t>erslag inzake de winstbelasting (country-</w:t>
      </w:r>
      <w:proofErr w:type="spellStart"/>
      <w:r w:rsidRPr="00851B6A">
        <w:rPr>
          <w:rFonts w:ascii="Arial" w:hAnsi="Arial" w:cs="Arial"/>
          <w:sz w:val="16"/>
          <w:szCs w:val="16"/>
          <w:lang w:val="nl-NL"/>
        </w:rPr>
        <w:t>by</w:t>
      </w:r>
      <w:proofErr w:type="spellEnd"/>
      <w:r w:rsidRPr="00851B6A">
        <w:rPr>
          <w:rFonts w:ascii="Arial" w:hAnsi="Arial" w:cs="Arial"/>
          <w:sz w:val="16"/>
          <w:szCs w:val="16"/>
          <w:lang w:val="nl-NL"/>
        </w:rPr>
        <w:t xml:space="preserve">-country </w:t>
      </w:r>
      <w:proofErr w:type="spellStart"/>
      <w:r w:rsidRPr="00851B6A">
        <w:rPr>
          <w:rFonts w:ascii="Arial" w:hAnsi="Arial" w:cs="Arial"/>
          <w:sz w:val="16"/>
          <w:szCs w:val="16"/>
          <w:lang w:val="nl-NL"/>
        </w:rPr>
        <w:t>reporting</w:t>
      </w:r>
      <w:proofErr w:type="spellEnd"/>
      <w:r w:rsidRPr="00851B6A">
        <w:rPr>
          <w:rFonts w:ascii="Arial" w:hAnsi="Arial" w:cs="Arial"/>
          <w:sz w:val="16"/>
          <w:szCs w:val="16"/>
          <w:lang w:val="nl-NL"/>
        </w:rPr>
        <w:t>)” is verplicht in het geval van een wettelijke controle uit hoofde van Titel 9 Boek 2 BW van een jaarrekening met ingang van het tweede boekjaar dat is aangevangen op of na 22 juni 2024. Indien de entiteit niet verplicht is om een verslag inzake de winstbelasting openbaar te maken dient het feit dat de entiteit hiertoe niet verplicht is uit de controleverklaring te blijken. Indien de entiteit hiertoe wel verplicht is wordt in de controleverklaring vermeld dat de accountant heeft vastgesteld dat dit verslag inzake het voorafgaande boekjaar al dan niet openbaar is gemaakt.</w:t>
      </w:r>
    </w:p>
  </w:footnote>
  <w:footnote w:id="3">
    <w:p w14:paraId="4B34B7D6" w14:textId="77777777" w:rsidR="004213E0" w:rsidRPr="00851B6A" w:rsidRDefault="004213E0" w:rsidP="004213E0">
      <w:pPr>
        <w:pStyle w:val="Voetnoottekst"/>
        <w:rPr>
          <w:rFonts w:ascii="Arial" w:hAnsi="Arial" w:cs="Arial"/>
          <w:sz w:val="16"/>
          <w:szCs w:val="16"/>
          <w:lang w:val="nl-NL"/>
        </w:rPr>
      </w:pPr>
      <w:r w:rsidRPr="00851B6A">
        <w:rPr>
          <w:rStyle w:val="Voetnootmarkering"/>
          <w:rFonts w:ascii="Arial" w:hAnsi="Arial" w:cs="Arial"/>
          <w:sz w:val="16"/>
          <w:szCs w:val="16"/>
        </w:rPr>
        <w:footnoteRef/>
      </w:r>
      <w:r w:rsidRPr="00851B6A">
        <w:rPr>
          <w:rFonts w:ascii="Arial" w:hAnsi="Arial" w:cs="Arial"/>
          <w:sz w:val="16"/>
          <w:szCs w:val="16"/>
          <w:lang w:val="nl-NL"/>
        </w:rPr>
        <w:t xml:space="preserve"> De sectie “</w:t>
      </w:r>
      <w:r>
        <w:rPr>
          <w:rFonts w:ascii="Arial" w:hAnsi="Arial" w:cs="Arial"/>
          <w:sz w:val="16"/>
          <w:szCs w:val="16"/>
          <w:lang w:val="nl-NL"/>
        </w:rPr>
        <w:t xml:space="preserve">Public </w:t>
      </w:r>
      <w:proofErr w:type="spellStart"/>
      <w:r>
        <w:rPr>
          <w:rFonts w:ascii="Arial" w:hAnsi="Arial" w:cs="Arial"/>
          <w:sz w:val="16"/>
          <w:szCs w:val="16"/>
          <w:lang w:val="nl-NL"/>
        </w:rPr>
        <w:t>disclosure</w:t>
      </w:r>
      <w:proofErr w:type="spellEnd"/>
      <w:r>
        <w:rPr>
          <w:rFonts w:ascii="Arial" w:hAnsi="Arial" w:cs="Arial"/>
          <w:sz w:val="16"/>
          <w:szCs w:val="16"/>
          <w:lang w:val="nl-NL"/>
        </w:rPr>
        <w:t xml:space="preserve"> r</w:t>
      </w:r>
      <w:r w:rsidRPr="00851B6A">
        <w:rPr>
          <w:rFonts w:ascii="Arial" w:hAnsi="Arial" w:cs="Arial"/>
          <w:sz w:val="16"/>
          <w:szCs w:val="16"/>
          <w:lang w:val="nl-NL"/>
        </w:rPr>
        <w:t xml:space="preserve">eport on </w:t>
      </w:r>
      <w:proofErr w:type="spellStart"/>
      <w:r>
        <w:rPr>
          <w:rFonts w:ascii="Arial" w:hAnsi="Arial" w:cs="Arial"/>
          <w:sz w:val="16"/>
          <w:szCs w:val="16"/>
          <w:lang w:val="nl-NL"/>
        </w:rPr>
        <w:t>income</w:t>
      </w:r>
      <w:proofErr w:type="spellEnd"/>
      <w:r>
        <w:rPr>
          <w:rFonts w:ascii="Arial" w:hAnsi="Arial" w:cs="Arial"/>
          <w:sz w:val="16"/>
          <w:szCs w:val="16"/>
          <w:lang w:val="nl-NL"/>
        </w:rPr>
        <w:t xml:space="preserve"> </w:t>
      </w:r>
      <w:proofErr w:type="spellStart"/>
      <w:r>
        <w:rPr>
          <w:rFonts w:ascii="Arial" w:hAnsi="Arial" w:cs="Arial"/>
          <w:sz w:val="16"/>
          <w:szCs w:val="16"/>
          <w:lang w:val="nl-NL"/>
        </w:rPr>
        <w:t>tax</w:t>
      </w:r>
      <w:proofErr w:type="spellEnd"/>
      <w:r>
        <w:rPr>
          <w:rFonts w:ascii="Arial" w:hAnsi="Arial" w:cs="Arial"/>
          <w:sz w:val="16"/>
          <w:szCs w:val="16"/>
          <w:lang w:val="nl-NL"/>
        </w:rPr>
        <w:t xml:space="preserve"> information</w:t>
      </w:r>
      <w:r w:rsidRPr="00851B6A">
        <w:rPr>
          <w:rFonts w:ascii="Arial" w:hAnsi="Arial" w:cs="Arial"/>
          <w:sz w:val="16"/>
          <w:szCs w:val="16"/>
          <w:lang w:val="nl-NL"/>
        </w:rPr>
        <w:t xml:space="preserve"> (country-</w:t>
      </w:r>
      <w:proofErr w:type="spellStart"/>
      <w:r w:rsidRPr="00851B6A">
        <w:rPr>
          <w:rFonts w:ascii="Arial" w:hAnsi="Arial" w:cs="Arial"/>
          <w:sz w:val="16"/>
          <w:szCs w:val="16"/>
          <w:lang w:val="nl-NL"/>
        </w:rPr>
        <w:t>by</w:t>
      </w:r>
      <w:proofErr w:type="spellEnd"/>
      <w:r w:rsidRPr="00851B6A">
        <w:rPr>
          <w:rFonts w:ascii="Arial" w:hAnsi="Arial" w:cs="Arial"/>
          <w:sz w:val="16"/>
          <w:szCs w:val="16"/>
          <w:lang w:val="nl-NL"/>
        </w:rPr>
        <w:t xml:space="preserve">-country </w:t>
      </w:r>
      <w:proofErr w:type="spellStart"/>
      <w:r w:rsidRPr="00851B6A">
        <w:rPr>
          <w:rFonts w:ascii="Arial" w:hAnsi="Arial" w:cs="Arial"/>
          <w:sz w:val="16"/>
          <w:szCs w:val="16"/>
          <w:lang w:val="nl-NL"/>
        </w:rPr>
        <w:t>reporting</w:t>
      </w:r>
      <w:proofErr w:type="spellEnd"/>
      <w:r w:rsidRPr="00851B6A">
        <w:rPr>
          <w:rFonts w:ascii="Arial" w:hAnsi="Arial" w:cs="Arial"/>
          <w:sz w:val="16"/>
          <w:szCs w:val="16"/>
          <w:lang w:val="nl-NL"/>
        </w:rPr>
        <w:t>)” is verplicht in het geval van een wettelijke controle uit hoofde van Titel 9 Boek 2 BW van een jaarrekening met ingang van het tweede boekjaar dat is aangevangen op of na 22 juni 2024. Indien de entiteit niet verplicht is om een verslag inzake de winstbelasting openbaar te maken dient het feit dat de entiteit hiertoe niet verplicht is uit de controleverklaring te blijken. Indien de entiteit hiertoe wel verplicht is wordt in de controleverklaring vermeld dat de accountant heeft vastgesteld dat dit verslag inzake het voorafgaande boekjaar al dan niet openbaar is gemaakt.</w:t>
      </w:r>
    </w:p>
  </w:footnote>
  <w:footnote w:id="4">
    <w:p w14:paraId="6AF1CBC5" w14:textId="77777777" w:rsidR="004213E0" w:rsidRPr="00851B6A" w:rsidRDefault="004213E0" w:rsidP="004213E0">
      <w:pPr>
        <w:pStyle w:val="Voetnoottekst"/>
        <w:rPr>
          <w:rFonts w:ascii="Arial" w:hAnsi="Arial" w:cs="Arial"/>
          <w:sz w:val="16"/>
          <w:szCs w:val="16"/>
          <w:lang w:val="nl-NL"/>
        </w:rPr>
      </w:pPr>
      <w:r w:rsidRPr="00851B6A">
        <w:rPr>
          <w:rStyle w:val="Voetnootmarkering"/>
          <w:rFonts w:ascii="Arial" w:hAnsi="Arial" w:cs="Arial"/>
          <w:sz w:val="16"/>
          <w:szCs w:val="16"/>
        </w:rPr>
        <w:footnoteRef/>
      </w:r>
      <w:r w:rsidRPr="00851B6A">
        <w:rPr>
          <w:rFonts w:ascii="Arial" w:hAnsi="Arial" w:cs="Arial"/>
          <w:sz w:val="16"/>
          <w:szCs w:val="16"/>
          <w:lang w:val="nl-NL"/>
        </w:rPr>
        <w:t xml:space="preserve"> Deze </w:t>
      </w:r>
      <w:r>
        <w:rPr>
          <w:rFonts w:ascii="Arial" w:hAnsi="Arial" w:cs="Arial"/>
          <w:sz w:val="16"/>
          <w:szCs w:val="16"/>
          <w:lang w:val="nl-NL"/>
        </w:rPr>
        <w:t xml:space="preserve">eerste </w:t>
      </w:r>
      <w:r w:rsidRPr="00851B6A">
        <w:rPr>
          <w:rFonts w:ascii="Arial" w:hAnsi="Arial" w:cs="Arial"/>
          <w:sz w:val="16"/>
          <w:szCs w:val="16"/>
          <w:lang w:val="nl-NL"/>
        </w:rPr>
        <w:t>zin alleen opnemen indien de entiteit verplicht is om een verslag inzake de winstbelasting openbaar te maken met betrekking tot het voorafgaande jaar.</w:t>
      </w:r>
    </w:p>
  </w:footnote>
  <w:footnote w:id="5">
    <w:p w14:paraId="59233D33" w14:textId="77777777" w:rsidR="004213E0" w:rsidRPr="00851B6A" w:rsidRDefault="004213E0" w:rsidP="004213E0">
      <w:pPr>
        <w:pStyle w:val="Voetnoottekst"/>
        <w:rPr>
          <w:rFonts w:ascii="Arial" w:hAnsi="Arial" w:cs="Arial"/>
          <w:sz w:val="16"/>
          <w:szCs w:val="16"/>
          <w:lang w:val="nl-NL"/>
        </w:rPr>
      </w:pPr>
      <w:r w:rsidRPr="00851B6A">
        <w:rPr>
          <w:rStyle w:val="Voetnootmarkering"/>
          <w:rFonts w:ascii="Arial" w:hAnsi="Arial" w:cs="Arial"/>
          <w:sz w:val="16"/>
          <w:szCs w:val="16"/>
        </w:rPr>
        <w:footnoteRef/>
      </w:r>
      <w:r w:rsidRPr="00851B6A">
        <w:rPr>
          <w:rFonts w:ascii="Arial" w:hAnsi="Arial" w:cs="Arial"/>
          <w:sz w:val="16"/>
          <w:szCs w:val="16"/>
          <w:lang w:val="nl-NL"/>
        </w:rPr>
        <w:t xml:space="preserve"> Deze verplichting voor </w:t>
      </w:r>
      <w:r>
        <w:rPr>
          <w:rFonts w:ascii="Arial" w:hAnsi="Arial" w:cs="Arial"/>
          <w:sz w:val="16"/>
          <w:szCs w:val="16"/>
          <w:lang w:val="nl-NL"/>
        </w:rPr>
        <w:t xml:space="preserve">de uiteindelijke moedermaatschappij van </w:t>
      </w:r>
      <w:r w:rsidRPr="00851B6A">
        <w:rPr>
          <w:rFonts w:ascii="Arial" w:hAnsi="Arial" w:cs="Arial"/>
          <w:sz w:val="16"/>
          <w:szCs w:val="16"/>
          <w:lang w:val="nl-NL"/>
        </w:rPr>
        <w:t xml:space="preserve">multinationale ondernemingen met een </w:t>
      </w:r>
      <w:r w:rsidRPr="00950573">
        <w:rPr>
          <w:rFonts w:ascii="Arial" w:hAnsi="Arial" w:cs="Arial"/>
          <w:sz w:val="16"/>
          <w:szCs w:val="16"/>
          <w:lang w:val="nl-NL"/>
        </w:rPr>
        <w:t xml:space="preserve">gedurende twee opeenvolgende verslagjaren </w:t>
      </w:r>
      <w:r w:rsidRPr="00851B6A">
        <w:rPr>
          <w:rFonts w:ascii="Arial" w:hAnsi="Arial" w:cs="Arial"/>
          <w:sz w:val="16"/>
          <w:szCs w:val="16"/>
          <w:lang w:val="nl-NL"/>
        </w:rPr>
        <w:t xml:space="preserve">(geconsolideerde) omzet van meer dan € 750 miljoen geldt met ingang van het boekjaar dat is aangevangen op of na 22 juni 2024. </w:t>
      </w:r>
      <w:r>
        <w:rPr>
          <w:rFonts w:ascii="Arial" w:hAnsi="Arial" w:cs="Arial"/>
          <w:sz w:val="16"/>
          <w:szCs w:val="16"/>
          <w:lang w:val="nl-NL"/>
        </w:rPr>
        <w:t xml:space="preserve">Daarnaast kan voor een Nederlandse vennootschap met een uiteindelijke moedermaatschappij die niet valt onder het recht van de EU/EER en aan de omzetcriteria voldoet een publicatieplicht van het verslag inzake de uiteindelijke moedermaatschappij van toepassing zijn. </w:t>
      </w:r>
      <w:r w:rsidRPr="00851B6A">
        <w:rPr>
          <w:rFonts w:ascii="Arial" w:hAnsi="Arial" w:cs="Arial"/>
          <w:sz w:val="16"/>
          <w:szCs w:val="16"/>
          <w:lang w:val="nl-NL"/>
        </w:rPr>
        <w:t xml:space="preserve">De verplichting is echter niet van toepassing op een bank of beleggingsonderneming die een mededeling openbaar maakt overeenkomstig artikel 3 van het </w:t>
      </w:r>
      <w:r w:rsidR="00C6263E">
        <w:fldChar w:fldCharType="begin"/>
      </w:r>
      <w:r w:rsidR="00C6263E" w:rsidRPr="00C6263E">
        <w:rPr>
          <w:lang w:val="nl-NL"/>
        </w:rPr>
        <w:instrText>HYPERLINK "https://urldefense.com/v3/__https:/wetten.overheid.nl/BWBR0035575/2021-11-26/0__;!!E1R1dd1bLLODlQ4!DqNWVS1keIEI26GdWWEveWx0E30R9nNOiFobfRloslRDDwiwjPZQRTy2YKWNsnvLMHQLU5z8vDpJf7oD9WR88Y0zYhQ$"</w:instrText>
      </w:r>
      <w:r w:rsidR="00C6263E">
        <w:fldChar w:fldCharType="separate"/>
      </w:r>
      <w:r w:rsidRPr="00851B6A">
        <w:rPr>
          <w:rStyle w:val="Hyperlink"/>
          <w:rFonts w:ascii="Arial" w:hAnsi="Arial" w:cs="Arial"/>
          <w:sz w:val="16"/>
          <w:szCs w:val="16"/>
          <w:lang w:val="nl-NL"/>
        </w:rPr>
        <w:t xml:space="preserve">Besluit uitvoering publicatieverplichtingen richtlijnen kapitaalvereisten en </w:t>
      </w:r>
      <w:proofErr w:type="spellStart"/>
      <w:r w:rsidRPr="00851B6A">
        <w:rPr>
          <w:rStyle w:val="Hyperlink"/>
          <w:rFonts w:ascii="Arial" w:hAnsi="Arial" w:cs="Arial"/>
          <w:sz w:val="16"/>
          <w:szCs w:val="16"/>
          <w:lang w:val="nl-NL"/>
        </w:rPr>
        <w:t>prudentieel</w:t>
      </w:r>
      <w:proofErr w:type="spellEnd"/>
      <w:r w:rsidRPr="00851B6A">
        <w:rPr>
          <w:rStyle w:val="Hyperlink"/>
          <w:rFonts w:ascii="Arial" w:hAnsi="Arial" w:cs="Arial"/>
          <w:sz w:val="16"/>
          <w:szCs w:val="16"/>
          <w:lang w:val="nl-NL"/>
        </w:rPr>
        <w:t xml:space="preserve"> toezicht beleggingsondernemingen</w:t>
      </w:r>
      <w:r w:rsidR="00C6263E">
        <w:rPr>
          <w:rStyle w:val="Hyperlink"/>
          <w:rFonts w:ascii="Arial" w:hAnsi="Arial" w:cs="Arial"/>
          <w:sz w:val="16"/>
          <w:szCs w:val="16"/>
          <w:lang w:val="nl-NL"/>
        </w:rPr>
        <w:fldChar w:fldCharType="end"/>
      </w:r>
      <w:r w:rsidRPr="00851B6A">
        <w:rPr>
          <w:rFonts w:ascii="Arial" w:hAnsi="Arial" w:cs="Arial"/>
          <w:sz w:val="16"/>
          <w:szCs w:val="16"/>
          <w:lang w:val="nl-NL"/>
        </w:rPr>
        <w:t xml:space="preserve">. In het geval dat het boekjaar gelijk is aan het kalenderjaar is dit dus met ingang van boekjaar 2025. De verplichting voor de controlerend accountant om in de controleverklaring te vermelden of de controlecliënt in het </w:t>
      </w:r>
      <w:r w:rsidRPr="00851B6A">
        <w:rPr>
          <w:rFonts w:ascii="Arial" w:hAnsi="Arial" w:cs="Arial"/>
          <w:i/>
          <w:iCs/>
          <w:sz w:val="16"/>
          <w:szCs w:val="16"/>
          <w:lang w:val="nl-NL"/>
        </w:rPr>
        <w:t>voorafgaande</w:t>
      </w:r>
      <w:r w:rsidRPr="00851B6A">
        <w:rPr>
          <w:rFonts w:ascii="Arial" w:hAnsi="Arial" w:cs="Arial"/>
          <w:sz w:val="16"/>
          <w:szCs w:val="16"/>
          <w:lang w:val="nl-NL"/>
        </w:rPr>
        <w:t xml:space="preserve"> boekjaar heeft voldaan aan de betreffende verplichting tot openbaarmaking geldt derhalve voor het eerst voor de controleverklaring die wordt afgegeven bij de jaarrekening over boekjaar 2026.</w:t>
      </w:r>
    </w:p>
  </w:footnote>
  <w:footnote w:id="6">
    <w:p w14:paraId="4E999177" w14:textId="77777777" w:rsidR="00FF27D1" w:rsidRPr="00851B6A" w:rsidRDefault="00FF27D1" w:rsidP="00FF27D1">
      <w:pPr>
        <w:pStyle w:val="Voetnoottekst"/>
        <w:rPr>
          <w:rFonts w:ascii="Arial" w:hAnsi="Arial" w:cs="Arial"/>
          <w:sz w:val="16"/>
          <w:szCs w:val="16"/>
          <w:lang w:val="nl-NL"/>
        </w:rPr>
      </w:pPr>
      <w:r w:rsidRPr="00851B6A">
        <w:rPr>
          <w:rStyle w:val="Voetnootmarkering"/>
          <w:rFonts w:ascii="Arial" w:hAnsi="Arial" w:cs="Arial"/>
          <w:sz w:val="16"/>
          <w:szCs w:val="16"/>
        </w:rPr>
        <w:footnoteRef/>
      </w:r>
      <w:r w:rsidRPr="00851B6A">
        <w:rPr>
          <w:rFonts w:ascii="Arial" w:hAnsi="Arial" w:cs="Arial"/>
          <w:sz w:val="16"/>
          <w:szCs w:val="16"/>
          <w:lang w:val="nl-NL"/>
        </w:rPr>
        <w:t xml:space="preserve"> Deze </w:t>
      </w:r>
      <w:r>
        <w:rPr>
          <w:rFonts w:ascii="Arial" w:hAnsi="Arial" w:cs="Arial"/>
          <w:sz w:val="16"/>
          <w:szCs w:val="16"/>
          <w:lang w:val="nl-NL"/>
        </w:rPr>
        <w:t>eerste</w:t>
      </w:r>
      <w:r w:rsidRPr="00851B6A">
        <w:rPr>
          <w:rFonts w:ascii="Arial" w:hAnsi="Arial" w:cs="Arial"/>
          <w:sz w:val="16"/>
          <w:szCs w:val="16"/>
          <w:lang w:val="nl-NL"/>
        </w:rPr>
        <w:t xml:space="preserve"> zin alleen opnemen indien de entiteit verplicht is om een verslag inzake de winstbelasting openbaar te maken met betrekking tot het voorafgaande jaar.</w:t>
      </w:r>
    </w:p>
  </w:footnote>
  <w:footnote w:id="7">
    <w:p w14:paraId="746E565F" w14:textId="3A850F16" w:rsidR="00FF27D1" w:rsidRPr="00851B6A" w:rsidRDefault="00FF27D1" w:rsidP="00FF27D1">
      <w:pPr>
        <w:pStyle w:val="Voetnoottekst"/>
        <w:rPr>
          <w:rFonts w:ascii="Arial" w:hAnsi="Arial" w:cs="Arial"/>
          <w:sz w:val="16"/>
          <w:szCs w:val="16"/>
          <w:lang w:val="nl-NL"/>
        </w:rPr>
      </w:pPr>
      <w:r w:rsidRPr="00851B6A">
        <w:rPr>
          <w:rStyle w:val="Voetnootmarkering"/>
          <w:rFonts w:ascii="Arial" w:hAnsi="Arial" w:cs="Arial"/>
          <w:sz w:val="16"/>
          <w:szCs w:val="16"/>
        </w:rPr>
        <w:footnoteRef/>
      </w:r>
      <w:r w:rsidRPr="00851B6A">
        <w:rPr>
          <w:rFonts w:ascii="Arial" w:hAnsi="Arial" w:cs="Arial"/>
          <w:sz w:val="16"/>
          <w:szCs w:val="16"/>
          <w:lang w:val="nl-NL"/>
        </w:rPr>
        <w:t xml:space="preserve"> Deze verplichting voor </w:t>
      </w:r>
      <w:r>
        <w:rPr>
          <w:rFonts w:ascii="Arial" w:hAnsi="Arial" w:cs="Arial"/>
          <w:sz w:val="16"/>
          <w:szCs w:val="16"/>
          <w:lang w:val="nl-NL"/>
        </w:rPr>
        <w:t xml:space="preserve">de uiteindelijke moedermaatschappij van </w:t>
      </w:r>
      <w:r w:rsidRPr="00851B6A">
        <w:rPr>
          <w:rFonts w:ascii="Arial" w:hAnsi="Arial" w:cs="Arial"/>
          <w:sz w:val="16"/>
          <w:szCs w:val="16"/>
          <w:lang w:val="nl-NL"/>
        </w:rPr>
        <w:t xml:space="preserve">multinationale ondernemingen met een </w:t>
      </w:r>
      <w:r w:rsidRPr="000969DD">
        <w:rPr>
          <w:rFonts w:ascii="Arial" w:hAnsi="Arial" w:cs="Arial"/>
          <w:sz w:val="16"/>
          <w:szCs w:val="16"/>
          <w:lang w:val="nl-NL"/>
        </w:rPr>
        <w:t xml:space="preserve">gedurende twee opeenvolgende verslagjaren </w:t>
      </w:r>
      <w:r w:rsidRPr="00851B6A">
        <w:rPr>
          <w:rFonts w:ascii="Arial" w:hAnsi="Arial" w:cs="Arial"/>
          <w:sz w:val="16"/>
          <w:szCs w:val="16"/>
          <w:lang w:val="nl-NL"/>
        </w:rPr>
        <w:t xml:space="preserve">(geconsolideerde) omzet van meer dan € 750 miljoen geldt met ingang van het boekjaar dat is aangevangen op of na 22 juni 2024. </w:t>
      </w:r>
      <w:r>
        <w:rPr>
          <w:rFonts w:ascii="Arial" w:hAnsi="Arial" w:cs="Arial"/>
          <w:sz w:val="16"/>
          <w:szCs w:val="16"/>
          <w:lang w:val="nl-NL"/>
        </w:rPr>
        <w:t xml:space="preserve">Daarnaast kan voor een Nederlandse vennootschap met een uiteindelijke moedermaatschappij die niet valt onder het recht van de EU/EER en aan de omzetcriteria voldoet een publicatieplicht van het verslag inzake de uiteindelijke moedermaatschappij van toepassing zijn. </w:t>
      </w:r>
      <w:r w:rsidRPr="00851B6A">
        <w:rPr>
          <w:rFonts w:ascii="Arial" w:hAnsi="Arial" w:cs="Arial"/>
          <w:sz w:val="16"/>
          <w:szCs w:val="16"/>
          <w:lang w:val="nl-NL"/>
        </w:rPr>
        <w:t xml:space="preserve">De verplichting is echter niet van toepassing op een bank of beleggingsonderneming die een mededeling openbaar maakt overeenkomstig artikel 3 van het </w:t>
      </w:r>
      <w:r w:rsidR="00C6263E">
        <w:fldChar w:fldCharType="begin"/>
      </w:r>
      <w:r w:rsidR="00C6263E" w:rsidRPr="00C6263E">
        <w:rPr>
          <w:lang w:val="nl-NL"/>
        </w:rPr>
        <w:instrText>HYPERLINK "https://urldefense.com/v3/__https:/wetten.overheid.nl/BWBR0035575/2021-11-26/0__;!!E1R1dd1bLLODlQ4!DqNWVS1keIEI26GdWWEveWx0E30R9nNOiFobfRloslRDDwiwjPZQRTy2YKWNsnvLMHQLU5z8vDpJf7oD9WR88Y0zYhQ$"</w:instrText>
      </w:r>
      <w:r w:rsidR="00C6263E">
        <w:fldChar w:fldCharType="separate"/>
      </w:r>
      <w:r w:rsidRPr="00851B6A">
        <w:rPr>
          <w:rStyle w:val="Hyperlink"/>
          <w:rFonts w:ascii="Arial" w:hAnsi="Arial" w:cs="Arial"/>
          <w:sz w:val="16"/>
          <w:szCs w:val="16"/>
          <w:lang w:val="nl-NL"/>
        </w:rPr>
        <w:t xml:space="preserve">Besluit uitvoering publicatieverplichtingen richtlijnen kapitaalvereisten en </w:t>
      </w:r>
      <w:proofErr w:type="spellStart"/>
      <w:r w:rsidRPr="00851B6A">
        <w:rPr>
          <w:rStyle w:val="Hyperlink"/>
          <w:rFonts w:ascii="Arial" w:hAnsi="Arial" w:cs="Arial"/>
          <w:sz w:val="16"/>
          <w:szCs w:val="16"/>
          <w:lang w:val="nl-NL"/>
        </w:rPr>
        <w:t>prudentieel</w:t>
      </w:r>
      <w:proofErr w:type="spellEnd"/>
      <w:r w:rsidRPr="00851B6A">
        <w:rPr>
          <w:rStyle w:val="Hyperlink"/>
          <w:rFonts w:ascii="Arial" w:hAnsi="Arial" w:cs="Arial"/>
          <w:sz w:val="16"/>
          <w:szCs w:val="16"/>
          <w:lang w:val="nl-NL"/>
        </w:rPr>
        <w:t xml:space="preserve"> toezicht beleggingsondernemingen</w:t>
      </w:r>
      <w:r w:rsidR="00C6263E">
        <w:rPr>
          <w:rStyle w:val="Hyperlink"/>
          <w:rFonts w:ascii="Arial" w:hAnsi="Arial" w:cs="Arial"/>
          <w:sz w:val="16"/>
          <w:szCs w:val="16"/>
          <w:lang w:val="nl-NL"/>
        </w:rPr>
        <w:fldChar w:fldCharType="end"/>
      </w:r>
      <w:r w:rsidRPr="00851B6A">
        <w:rPr>
          <w:rFonts w:ascii="Arial" w:hAnsi="Arial" w:cs="Arial"/>
          <w:sz w:val="16"/>
          <w:szCs w:val="16"/>
          <w:lang w:val="nl-NL"/>
        </w:rPr>
        <w:t xml:space="preserve">. In het geval dat het boekjaar gelijk is aan het kalenderjaar is dit dus met ingang van boekjaar 2025. De verplichting voor de controlerend accountant om in de controleverklaring te vermelden of de controlecliënt in het </w:t>
      </w:r>
      <w:r w:rsidRPr="00851B6A">
        <w:rPr>
          <w:rFonts w:ascii="Arial" w:hAnsi="Arial" w:cs="Arial"/>
          <w:i/>
          <w:iCs/>
          <w:sz w:val="16"/>
          <w:szCs w:val="16"/>
          <w:lang w:val="nl-NL"/>
        </w:rPr>
        <w:t>voorafgaande</w:t>
      </w:r>
      <w:r w:rsidRPr="00851B6A">
        <w:rPr>
          <w:rFonts w:ascii="Arial" w:hAnsi="Arial" w:cs="Arial"/>
          <w:sz w:val="16"/>
          <w:szCs w:val="16"/>
          <w:lang w:val="nl-NL"/>
        </w:rPr>
        <w:t xml:space="preserve"> boekjaar heeft voldaan aan de betreffende verplichting tot openbaarmaking geldt derhalve voor het eerst voor de controleverklaring die wordt afgegeven bij de jaarrekening over boekjaar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85332" w14:textId="4313A553" w:rsidR="00865AF2" w:rsidRPr="00B6369D" w:rsidRDefault="00865AF2">
    <w:pPr>
      <w:pStyle w:val="Kopteks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D86"/>
    <w:multiLevelType w:val="multilevel"/>
    <w:tmpl w:val="183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C45A2"/>
    <w:multiLevelType w:val="multilevel"/>
    <w:tmpl w:val="3C1E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74492"/>
    <w:multiLevelType w:val="hybridMultilevel"/>
    <w:tmpl w:val="969090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D64B07"/>
    <w:multiLevelType w:val="hybridMultilevel"/>
    <w:tmpl w:val="571E7678"/>
    <w:lvl w:ilvl="0" w:tplc="5BDEE5A4">
      <w:numFmt w:val="bullet"/>
      <w:lvlText w:val="-"/>
      <w:lvlJc w:val="left"/>
      <w:pPr>
        <w:ind w:left="720" w:hanging="360"/>
      </w:pPr>
      <w:rPr>
        <w:rFonts w:ascii="Calibri" w:eastAsia="Apto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85938FD"/>
    <w:multiLevelType w:val="hybridMultilevel"/>
    <w:tmpl w:val="F808FCD8"/>
    <w:lvl w:ilvl="0" w:tplc="FDBCDFD2">
      <w:start w:val="1"/>
      <w:numFmt w:val="bullet"/>
      <w:lvlText w:val="—"/>
      <w:lvlJc w:val="left"/>
      <w:pPr>
        <w:ind w:left="360" w:hanging="360"/>
      </w:pPr>
      <w:rPr>
        <w:rFonts w:ascii="Arial" w:hAnsi="Arial" w:cs="Arial" w:hint="default"/>
        <w:color w:val="auto"/>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A873CE5"/>
    <w:multiLevelType w:val="hybridMultilevel"/>
    <w:tmpl w:val="B90EBD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CC1EBC"/>
    <w:multiLevelType w:val="hybridMultilevel"/>
    <w:tmpl w:val="85520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AA278B1"/>
    <w:multiLevelType w:val="hybridMultilevel"/>
    <w:tmpl w:val="C65E79B4"/>
    <w:lvl w:ilvl="0" w:tplc="04130001">
      <w:start w:val="1"/>
      <w:numFmt w:val="bullet"/>
      <w:lvlText w:val=""/>
      <w:lvlJc w:val="left"/>
      <w:pPr>
        <w:ind w:left="360" w:hanging="360"/>
      </w:pPr>
      <w:rPr>
        <w:rFonts w:ascii="Symbol" w:hAnsi="Symbol" w:hint="default"/>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4A176ED"/>
    <w:multiLevelType w:val="singleLevel"/>
    <w:tmpl w:val="34C4D2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5A727F86"/>
    <w:multiLevelType w:val="hybridMultilevel"/>
    <w:tmpl w:val="1E10CC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613A23"/>
    <w:multiLevelType w:val="hybridMultilevel"/>
    <w:tmpl w:val="038A09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68C6672"/>
    <w:multiLevelType w:val="hybridMultilevel"/>
    <w:tmpl w:val="E72AEF7E"/>
    <w:lvl w:ilvl="0" w:tplc="A886B3E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7FB292F"/>
    <w:multiLevelType w:val="hybridMultilevel"/>
    <w:tmpl w:val="E0BE7618"/>
    <w:lvl w:ilvl="0" w:tplc="8744D2DC">
      <w:numFmt w:val="bullet"/>
      <w:lvlText w:val="-"/>
      <w:lvlJc w:val="left"/>
      <w:pPr>
        <w:ind w:left="720" w:hanging="360"/>
      </w:pPr>
      <w:rPr>
        <w:rFonts w:ascii="Calibri" w:eastAsia="Apto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F762349"/>
    <w:multiLevelType w:val="hybridMultilevel"/>
    <w:tmpl w:val="BD805F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9564372">
    <w:abstractNumId w:val="8"/>
  </w:num>
  <w:num w:numId="2" w16cid:durableId="267931323">
    <w:abstractNumId w:val="4"/>
  </w:num>
  <w:num w:numId="3" w16cid:durableId="1556238866">
    <w:abstractNumId w:val="6"/>
  </w:num>
  <w:num w:numId="4" w16cid:durableId="617223468">
    <w:abstractNumId w:val="9"/>
  </w:num>
  <w:num w:numId="5" w16cid:durableId="1736538626">
    <w:abstractNumId w:val="7"/>
  </w:num>
  <w:num w:numId="6" w16cid:durableId="269170747">
    <w:abstractNumId w:val="12"/>
  </w:num>
  <w:num w:numId="7" w16cid:durableId="1546327528">
    <w:abstractNumId w:val="3"/>
  </w:num>
  <w:num w:numId="8" w16cid:durableId="326641759">
    <w:abstractNumId w:val="3"/>
  </w:num>
  <w:num w:numId="9" w16cid:durableId="714819588">
    <w:abstractNumId w:val="13"/>
  </w:num>
  <w:num w:numId="10" w16cid:durableId="1473963">
    <w:abstractNumId w:val="10"/>
  </w:num>
  <w:num w:numId="11" w16cid:durableId="1996227292">
    <w:abstractNumId w:val="11"/>
  </w:num>
  <w:num w:numId="12" w16cid:durableId="872570470">
    <w:abstractNumId w:val="5"/>
  </w:num>
  <w:num w:numId="13" w16cid:durableId="2046907107">
    <w:abstractNumId w:val="2"/>
  </w:num>
  <w:num w:numId="14" w16cid:durableId="1417632405">
    <w:abstractNumId w:val="1"/>
  </w:num>
  <w:num w:numId="15" w16cid:durableId="195462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EC"/>
    <w:rsid w:val="000007B0"/>
    <w:rsid w:val="00022DA1"/>
    <w:rsid w:val="00024D10"/>
    <w:rsid w:val="0002594C"/>
    <w:rsid w:val="00032327"/>
    <w:rsid w:val="000374C0"/>
    <w:rsid w:val="00047E03"/>
    <w:rsid w:val="00050A96"/>
    <w:rsid w:val="000533FD"/>
    <w:rsid w:val="0005413C"/>
    <w:rsid w:val="0005774F"/>
    <w:rsid w:val="00060C02"/>
    <w:rsid w:val="00064432"/>
    <w:rsid w:val="00064B72"/>
    <w:rsid w:val="000668D0"/>
    <w:rsid w:val="0007110F"/>
    <w:rsid w:val="000711BD"/>
    <w:rsid w:val="00071A18"/>
    <w:rsid w:val="00073F1D"/>
    <w:rsid w:val="00074AAD"/>
    <w:rsid w:val="000822D7"/>
    <w:rsid w:val="0008396F"/>
    <w:rsid w:val="00085334"/>
    <w:rsid w:val="000901D2"/>
    <w:rsid w:val="00091DEB"/>
    <w:rsid w:val="00092C67"/>
    <w:rsid w:val="0009524C"/>
    <w:rsid w:val="000969DD"/>
    <w:rsid w:val="000A22A1"/>
    <w:rsid w:val="000A2DA9"/>
    <w:rsid w:val="000A661F"/>
    <w:rsid w:val="000B1B03"/>
    <w:rsid w:val="000B5435"/>
    <w:rsid w:val="000C7ED3"/>
    <w:rsid w:val="000D2362"/>
    <w:rsid w:val="000D2E51"/>
    <w:rsid w:val="000E26A3"/>
    <w:rsid w:val="000F3C57"/>
    <w:rsid w:val="00101B07"/>
    <w:rsid w:val="00107D43"/>
    <w:rsid w:val="0011059F"/>
    <w:rsid w:val="00112312"/>
    <w:rsid w:val="00122E50"/>
    <w:rsid w:val="001245AC"/>
    <w:rsid w:val="00125F6E"/>
    <w:rsid w:val="00126B58"/>
    <w:rsid w:val="00131ADD"/>
    <w:rsid w:val="00131B4E"/>
    <w:rsid w:val="001360AF"/>
    <w:rsid w:val="00142063"/>
    <w:rsid w:val="0014215E"/>
    <w:rsid w:val="00144D05"/>
    <w:rsid w:val="0014725F"/>
    <w:rsid w:val="00154FB4"/>
    <w:rsid w:val="001556A0"/>
    <w:rsid w:val="00172A62"/>
    <w:rsid w:val="00172E6E"/>
    <w:rsid w:val="00176D08"/>
    <w:rsid w:val="0018128A"/>
    <w:rsid w:val="00181CA0"/>
    <w:rsid w:val="0019752E"/>
    <w:rsid w:val="00197753"/>
    <w:rsid w:val="001A4067"/>
    <w:rsid w:val="001A4DF6"/>
    <w:rsid w:val="001A69A6"/>
    <w:rsid w:val="001C01B0"/>
    <w:rsid w:val="001C3853"/>
    <w:rsid w:val="001C40AC"/>
    <w:rsid w:val="001C7137"/>
    <w:rsid w:val="001D2527"/>
    <w:rsid w:val="001D3365"/>
    <w:rsid w:val="001D411A"/>
    <w:rsid w:val="001D7BAB"/>
    <w:rsid w:val="001F071F"/>
    <w:rsid w:val="001F08A5"/>
    <w:rsid w:val="001F7E37"/>
    <w:rsid w:val="00204639"/>
    <w:rsid w:val="00210195"/>
    <w:rsid w:val="00212699"/>
    <w:rsid w:val="002165D8"/>
    <w:rsid w:val="002208DD"/>
    <w:rsid w:val="00227F7D"/>
    <w:rsid w:val="00236AFE"/>
    <w:rsid w:val="00236CAD"/>
    <w:rsid w:val="002420AC"/>
    <w:rsid w:val="00244CF7"/>
    <w:rsid w:val="0025067D"/>
    <w:rsid w:val="00255221"/>
    <w:rsid w:val="00255EA9"/>
    <w:rsid w:val="002655A3"/>
    <w:rsid w:val="0027491E"/>
    <w:rsid w:val="00275DA7"/>
    <w:rsid w:val="00276FB9"/>
    <w:rsid w:val="0028067D"/>
    <w:rsid w:val="0028375F"/>
    <w:rsid w:val="0028738A"/>
    <w:rsid w:val="0029582A"/>
    <w:rsid w:val="002A31A5"/>
    <w:rsid w:val="002A7424"/>
    <w:rsid w:val="002C1D42"/>
    <w:rsid w:val="002C4797"/>
    <w:rsid w:val="002D7955"/>
    <w:rsid w:val="002D7B26"/>
    <w:rsid w:val="002E27C2"/>
    <w:rsid w:val="002E59EE"/>
    <w:rsid w:val="002E6934"/>
    <w:rsid w:val="002F4204"/>
    <w:rsid w:val="00306478"/>
    <w:rsid w:val="00313D29"/>
    <w:rsid w:val="003142FC"/>
    <w:rsid w:val="00314798"/>
    <w:rsid w:val="003170BB"/>
    <w:rsid w:val="00324737"/>
    <w:rsid w:val="00326218"/>
    <w:rsid w:val="00334DD4"/>
    <w:rsid w:val="0033736B"/>
    <w:rsid w:val="00341565"/>
    <w:rsid w:val="0034287B"/>
    <w:rsid w:val="00343BDC"/>
    <w:rsid w:val="00345EF8"/>
    <w:rsid w:val="00347B56"/>
    <w:rsid w:val="00350EF3"/>
    <w:rsid w:val="00351796"/>
    <w:rsid w:val="003556FD"/>
    <w:rsid w:val="00356267"/>
    <w:rsid w:val="003613E6"/>
    <w:rsid w:val="00362BEE"/>
    <w:rsid w:val="00370280"/>
    <w:rsid w:val="00370C67"/>
    <w:rsid w:val="00374805"/>
    <w:rsid w:val="0037538E"/>
    <w:rsid w:val="003868D9"/>
    <w:rsid w:val="00390169"/>
    <w:rsid w:val="003917D8"/>
    <w:rsid w:val="003963CF"/>
    <w:rsid w:val="0039738D"/>
    <w:rsid w:val="003A2BFD"/>
    <w:rsid w:val="003B2EF2"/>
    <w:rsid w:val="003B4EEA"/>
    <w:rsid w:val="003C0BDD"/>
    <w:rsid w:val="003C2907"/>
    <w:rsid w:val="003E062A"/>
    <w:rsid w:val="003E244D"/>
    <w:rsid w:val="003E660E"/>
    <w:rsid w:val="003E6E18"/>
    <w:rsid w:val="003E7240"/>
    <w:rsid w:val="003F1759"/>
    <w:rsid w:val="004037A1"/>
    <w:rsid w:val="00410549"/>
    <w:rsid w:val="00411D00"/>
    <w:rsid w:val="0041363E"/>
    <w:rsid w:val="004213E0"/>
    <w:rsid w:val="00423223"/>
    <w:rsid w:val="004266F7"/>
    <w:rsid w:val="00427D49"/>
    <w:rsid w:val="004313B1"/>
    <w:rsid w:val="00436765"/>
    <w:rsid w:val="004410BF"/>
    <w:rsid w:val="00444585"/>
    <w:rsid w:val="00445948"/>
    <w:rsid w:val="00456381"/>
    <w:rsid w:val="00456732"/>
    <w:rsid w:val="00460331"/>
    <w:rsid w:val="00464DA1"/>
    <w:rsid w:val="00465707"/>
    <w:rsid w:val="004707F9"/>
    <w:rsid w:val="00474A7B"/>
    <w:rsid w:val="0047570E"/>
    <w:rsid w:val="00476E53"/>
    <w:rsid w:val="0048458F"/>
    <w:rsid w:val="00490C6D"/>
    <w:rsid w:val="00497D75"/>
    <w:rsid w:val="004A5960"/>
    <w:rsid w:val="004A78F6"/>
    <w:rsid w:val="004C08CD"/>
    <w:rsid w:val="004C154A"/>
    <w:rsid w:val="004C1F98"/>
    <w:rsid w:val="004D35BE"/>
    <w:rsid w:val="004E26F9"/>
    <w:rsid w:val="004E5199"/>
    <w:rsid w:val="004F38B5"/>
    <w:rsid w:val="004F593A"/>
    <w:rsid w:val="004F5AB4"/>
    <w:rsid w:val="00507092"/>
    <w:rsid w:val="00513E88"/>
    <w:rsid w:val="00514C45"/>
    <w:rsid w:val="00542579"/>
    <w:rsid w:val="00545A6A"/>
    <w:rsid w:val="005513E9"/>
    <w:rsid w:val="00553EA3"/>
    <w:rsid w:val="0055521D"/>
    <w:rsid w:val="0055704F"/>
    <w:rsid w:val="0055730D"/>
    <w:rsid w:val="0056157A"/>
    <w:rsid w:val="00566998"/>
    <w:rsid w:val="00566A7F"/>
    <w:rsid w:val="00570487"/>
    <w:rsid w:val="00570AC8"/>
    <w:rsid w:val="00574DF3"/>
    <w:rsid w:val="00580CE1"/>
    <w:rsid w:val="005824EB"/>
    <w:rsid w:val="00593FD9"/>
    <w:rsid w:val="005A6EE2"/>
    <w:rsid w:val="005B5752"/>
    <w:rsid w:val="005C0885"/>
    <w:rsid w:val="005D1C3A"/>
    <w:rsid w:val="005D3FB3"/>
    <w:rsid w:val="005E53BC"/>
    <w:rsid w:val="005F5406"/>
    <w:rsid w:val="005F5718"/>
    <w:rsid w:val="005F7F32"/>
    <w:rsid w:val="0060114C"/>
    <w:rsid w:val="00602EB6"/>
    <w:rsid w:val="00604552"/>
    <w:rsid w:val="00611AEC"/>
    <w:rsid w:val="006121C9"/>
    <w:rsid w:val="00614681"/>
    <w:rsid w:val="00622F04"/>
    <w:rsid w:val="00626FC8"/>
    <w:rsid w:val="00634E23"/>
    <w:rsid w:val="006352CE"/>
    <w:rsid w:val="00641797"/>
    <w:rsid w:val="006668CD"/>
    <w:rsid w:val="00666C35"/>
    <w:rsid w:val="00667DC3"/>
    <w:rsid w:val="00670052"/>
    <w:rsid w:val="00671085"/>
    <w:rsid w:val="006718A2"/>
    <w:rsid w:val="006742AF"/>
    <w:rsid w:val="006829D9"/>
    <w:rsid w:val="006874B2"/>
    <w:rsid w:val="006A6121"/>
    <w:rsid w:val="006A78F9"/>
    <w:rsid w:val="006B6868"/>
    <w:rsid w:val="006C7AB8"/>
    <w:rsid w:val="006E0180"/>
    <w:rsid w:val="006E296B"/>
    <w:rsid w:val="006F1794"/>
    <w:rsid w:val="007124D0"/>
    <w:rsid w:val="00712A00"/>
    <w:rsid w:val="00713C04"/>
    <w:rsid w:val="00722CE4"/>
    <w:rsid w:val="00727481"/>
    <w:rsid w:val="007313E5"/>
    <w:rsid w:val="00731B8C"/>
    <w:rsid w:val="00735756"/>
    <w:rsid w:val="0074139C"/>
    <w:rsid w:val="007456FB"/>
    <w:rsid w:val="0074574C"/>
    <w:rsid w:val="00746EB5"/>
    <w:rsid w:val="00752A75"/>
    <w:rsid w:val="007545F0"/>
    <w:rsid w:val="00761C65"/>
    <w:rsid w:val="007630B4"/>
    <w:rsid w:val="00767416"/>
    <w:rsid w:val="0077357D"/>
    <w:rsid w:val="007A0DA2"/>
    <w:rsid w:val="007A370A"/>
    <w:rsid w:val="007B02DC"/>
    <w:rsid w:val="007C6E4F"/>
    <w:rsid w:val="007D0792"/>
    <w:rsid w:val="007D1E5D"/>
    <w:rsid w:val="007D3002"/>
    <w:rsid w:val="007D4681"/>
    <w:rsid w:val="007D594D"/>
    <w:rsid w:val="007D7381"/>
    <w:rsid w:val="007E2336"/>
    <w:rsid w:val="007E2B28"/>
    <w:rsid w:val="007E4C14"/>
    <w:rsid w:val="007E7321"/>
    <w:rsid w:val="007F0ECC"/>
    <w:rsid w:val="007F34DE"/>
    <w:rsid w:val="007F3D34"/>
    <w:rsid w:val="0080192B"/>
    <w:rsid w:val="00801B24"/>
    <w:rsid w:val="00803400"/>
    <w:rsid w:val="00810305"/>
    <w:rsid w:val="00812AEA"/>
    <w:rsid w:val="0081448E"/>
    <w:rsid w:val="00817E32"/>
    <w:rsid w:val="00820781"/>
    <w:rsid w:val="00820FEC"/>
    <w:rsid w:val="008215F0"/>
    <w:rsid w:val="0082225A"/>
    <w:rsid w:val="00823002"/>
    <w:rsid w:val="008237E9"/>
    <w:rsid w:val="00827251"/>
    <w:rsid w:val="008322AA"/>
    <w:rsid w:val="00833B73"/>
    <w:rsid w:val="00835DEB"/>
    <w:rsid w:val="00844854"/>
    <w:rsid w:val="00846F4D"/>
    <w:rsid w:val="00851B6A"/>
    <w:rsid w:val="0085318F"/>
    <w:rsid w:val="00857466"/>
    <w:rsid w:val="00860964"/>
    <w:rsid w:val="00865AF2"/>
    <w:rsid w:val="00866FE7"/>
    <w:rsid w:val="008759B4"/>
    <w:rsid w:val="008839C1"/>
    <w:rsid w:val="008853A3"/>
    <w:rsid w:val="00890F13"/>
    <w:rsid w:val="0089111D"/>
    <w:rsid w:val="00893051"/>
    <w:rsid w:val="00893FD3"/>
    <w:rsid w:val="008B3927"/>
    <w:rsid w:val="008B3E79"/>
    <w:rsid w:val="008B4856"/>
    <w:rsid w:val="008C515F"/>
    <w:rsid w:val="008C756B"/>
    <w:rsid w:val="008D0DAD"/>
    <w:rsid w:val="008D3AD2"/>
    <w:rsid w:val="008D740B"/>
    <w:rsid w:val="008D7963"/>
    <w:rsid w:val="008D7F49"/>
    <w:rsid w:val="008E0ED2"/>
    <w:rsid w:val="008E2FDD"/>
    <w:rsid w:val="008E378A"/>
    <w:rsid w:val="008E606A"/>
    <w:rsid w:val="008F2D13"/>
    <w:rsid w:val="008F5C11"/>
    <w:rsid w:val="008F696C"/>
    <w:rsid w:val="009064D0"/>
    <w:rsid w:val="009115D1"/>
    <w:rsid w:val="009124C9"/>
    <w:rsid w:val="00913F37"/>
    <w:rsid w:val="00921885"/>
    <w:rsid w:val="00924621"/>
    <w:rsid w:val="00926BFA"/>
    <w:rsid w:val="00926D3D"/>
    <w:rsid w:val="009279FC"/>
    <w:rsid w:val="009340F6"/>
    <w:rsid w:val="00940447"/>
    <w:rsid w:val="00940BC4"/>
    <w:rsid w:val="009411B8"/>
    <w:rsid w:val="009412B4"/>
    <w:rsid w:val="009414CE"/>
    <w:rsid w:val="009448B3"/>
    <w:rsid w:val="00945CC1"/>
    <w:rsid w:val="00950573"/>
    <w:rsid w:val="00955EC3"/>
    <w:rsid w:val="00957F9E"/>
    <w:rsid w:val="0096449F"/>
    <w:rsid w:val="009648A0"/>
    <w:rsid w:val="00970E18"/>
    <w:rsid w:val="009727D6"/>
    <w:rsid w:val="0097646D"/>
    <w:rsid w:val="009841A9"/>
    <w:rsid w:val="00990CAC"/>
    <w:rsid w:val="00993632"/>
    <w:rsid w:val="00995592"/>
    <w:rsid w:val="00996B38"/>
    <w:rsid w:val="00996D76"/>
    <w:rsid w:val="0099750E"/>
    <w:rsid w:val="009A1A1C"/>
    <w:rsid w:val="009A4C6C"/>
    <w:rsid w:val="009A5401"/>
    <w:rsid w:val="009B0CD1"/>
    <w:rsid w:val="009B2B33"/>
    <w:rsid w:val="009B3A92"/>
    <w:rsid w:val="009B6672"/>
    <w:rsid w:val="009B6DF6"/>
    <w:rsid w:val="009C3332"/>
    <w:rsid w:val="009C5878"/>
    <w:rsid w:val="009D4309"/>
    <w:rsid w:val="009F5240"/>
    <w:rsid w:val="00A01F3A"/>
    <w:rsid w:val="00A0478E"/>
    <w:rsid w:val="00A138FD"/>
    <w:rsid w:val="00A22C49"/>
    <w:rsid w:val="00A30561"/>
    <w:rsid w:val="00A30A90"/>
    <w:rsid w:val="00A3235E"/>
    <w:rsid w:val="00A4221E"/>
    <w:rsid w:val="00A573E1"/>
    <w:rsid w:val="00A57660"/>
    <w:rsid w:val="00A657AB"/>
    <w:rsid w:val="00A67E26"/>
    <w:rsid w:val="00A70EFB"/>
    <w:rsid w:val="00A7399C"/>
    <w:rsid w:val="00A75D60"/>
    <w:rsid w:val="00A77539"/>
    <w:rsid w:val="00A83F68"/>
    <w:rsid w:val="00A90D30"/>
    <w:rsid w:val="00A92639"/>
    <w:rsid w:val="00AA0A7F"/>
    <w:rsid w:val="00AA5F94"/>
    <w:rsid w:val="00AB01A0"/>
    <w:rsid w:val="00AB1DF2"/>
    <w:rsid w:val="00AC4782"/>
    <w:rsid w:val="00AD0D09"/>
    <w:rsid w:val="00AD2018"/>
    <w:rsid w:val="00AD374C"/>
    <w:rsid w:val="00AD3DA6"/>
    <w:rsid w:val="00AD575D"/>
    <w:rsid w:val="00AE1BDA"/>
    <w:rsid w:val="00AE5F7A"/>
    <w:rsid w:val="00AE7218"/>
    <w:rsid w:val="00AF10E3"/>
    <w:rsid w:val="00AF11DC"/>
    <w:rsid w:val="00AF13D9"/>
    <w:rsid w:val="00AF2077"/>
    <w:rsid w:val="00B01629"/>
    <w:rsid w:val="00B140F9"/>
    <w:rsid w:val="00B14EA0"/>
    <w:rsid w:val="00B15A96"/>
    <w:rsid w:val="00B25019"/>
    <w:rsid w:val="00B25747"/>
    <w:rsid w:val="00B269ED"/>
    <w:rsid w:val="00B26C4B"/>
    <w:rsid w:val="00B35824"/>
    <w:rsid w:val="00B36DD5"/>
    <w:rsid w:val="00B40466"/>
    <w:rsid w:val="00B40850"/>
    <w:rsid w:val="00B416CE"/>
    <w:rsid w:val="00B44608"/>
    <w:rsid w:val="00B53D00"/>
    <w:rsid w:val="00B5635A"/>
    <w:rsid w:val="00B574DB"/>
    <w:rsid w:val="00B57885"/>
    <w:rsid w:val="00B6042F"/>
    <w:rsid w:val="00B62AF3"/>
    <w:rsid w:val="00B6369D"/>
    <w:rsid w:val="00B6475E"/>
    <w:rsid w:val="00B67854"/>
    <w:rsid w:val="00B75320"/>
    <w:rsid w:val="00B755E9"/>
    <w:rsid w:val="00B93A9A"/>
    <w:rsid w:val="00B93FDE"/>
    <w:rsid w:val="00B948CF"/>
    <w:rsid w:val="00B97977"/>
    <w:rsid w:val="00BA245C"/>
    <w:rsid w:val="00BA3C17"/>
    <w:rsid w:val="00BA4720"/>
    <w:rsid w:val="00BB0E28"/>
    <w:rsid w:val="00BC0A1A"/>
    <w:rsid w:val="00BC12AD"/>
    <w:rsid w:val="00BC2389"/>
    <w:rsid w:val="00BC577C"/>
    <w:rsid w:val="00BF2F3E"/>
    <w:rsid w:val="00BF3FA0"/>
    <w:rsid w:val="00BF7158"/>
    <w:rsid w:val="00C01E6D"/>
    <w:rsid w:val="00C028F7"/>
    <w:rsid w:val="00C11BCD"/>
    <w:rsid w:val="00C14311"/>
    <w:rsid w:val="00C27660"/>
    <w:rsid w:val="00C32D5B"/>
    <w:rsid w:val="00C41F58"/>
    <w:rsid w:val="00C44157"/>
    <w:rsid w:val="00C4701C"/>
    <w:rsid w:val="00C47E53"/>
    <w:rsid w:val="00C53202"/>
    <w:rsid w:val="00C60468"/>
    <w:rsid w:val="00C6263E"/>
    <w:rsid w:val="00C62E74"/>
    <w:rsid w:val="00C635DD"/>
    <w:rsid w:val="00C65297"/>
    <w:rsid w:val="00C65F97"/>
    <w:rsid w:val="00C67699"/>
    <w:rsid w:val="00C73E56"/>
    <w:rsid w:val="00C77AE8"/>
    <w:rsid w:val="00C844D0"/>
    <w:rsid w:val="00C861F5"/>
    <w:rsid w:val="00C940C7"/>
    <w:rsid w:val="00CB4A62"/>
    <w:rsid w:val="00CC0321"/>
    <w:rsid w:val="00CC0643"/>
    <w:rsid w:val="00CC37A5"/>
    <w:rsid w:val="00CD3125"/>
    <w:rsid w:val="00CF3EA7"/>
    <w:rsid w:val="00CF4265"/>
    <w:rsid w:val="00CF45C6"/>
    <w:rsid w:val="00CF660F"/>
    <w:rsid w:val="00D03CB9"/>
    <w:rsid w:val="00D1039A"/>
    <w:rsid w:val="00D10BED"/>
    <w:rsid w:val="00D12F51"/>
    <w:rsid w:val="00D16126"/>
    <w:rsid w:val="00D25071"/>
    <w:rsid w:val="00D27288"/>
    <w:rsid w:val="00D373BA"/>
    <w:rsid w:val="00D40284"/>
    <w:rsid w:val="00D43867"/>
    <w:rsid w:val="00D51841"/>
    <w:rsid w:val="00D5316E"/>
    <w:rsid w:val="00D57257"/>
    <w:rsid w:val="00D5799F"/>
    <w:rsid w:val="00D60D85"/>
    <w:rsid w:val="00D67FD3"/>
    <w:rsid w:val="00D73543"/>
    <w:rsid w:val="00D7445C"/>
    <w:rsid w:val="00D744E3"/>
    <w:rsid w:val="00D74B2B"/>
    <w:rsid w:val="00D7656F"/>
    <w:rsid w:val="00D80C6D"/>
    <w:rsid w:val="00D85105"/>
    <w:rsid w:val="00D87A02"/>
    <w:rsid w:val="00D87C47"/>
    <w:rsid w:val="00D87DB7"/>
    <w:rsid w:val="00D9112F"/>
    <w:rsid w:val="00D95016"/>
    <w:rsid w:val="00D97FCB"/>
    <w:rsid w:val="00DA37D2"/>
    <w:rsid w:val="00DA46B5"/>
    <w:rsid w:val="00DB0412"/>
    <w:rsid w:val="00DB0E0E"/>
    <w:rsid w:val="00DD30DD"/>
    <w:rsid w:val="00DE5AB0"/>
    <w:rsid w:val="00DF0116"/>
    <w:rsid w:val="00DF6852"/>
    <w:rsid w:val="00DF7BE2"/>
    <w:rsid w:val="00E020DE"/>
    <w:rsid w:val="00E06B48"/>
    <w:rsid w:val="00E13232"/>
    <w:rsid w:val="00E13305"/>
    <w:rsid w:val="00E16533"/>
    <w:rsid w:val="00E263AD"/>
    <w:rsid w:val="00E2665C"/>
    <w:rsid w:val="00E272B1"/>
    <w:rsid w:val="00E3151F"/>
    <w:rsid w:val="00E35CA1"/>
    <w:rsid w:val="00E44BC2"/>
    <w:rsid w:val="00E600FD"/>
    <w:rsid w:val="00E6099E"/>
    <w:rsid w:val="00E61BF3"/>
    <w:rsid w:val="00E658FC"/>
    <w:rsid w:val="00E7010B"/>
    <w:rsid w:val="00E73AFF"/>
    <w:rsid w:val="00E74182"/>
    <w:rsid w:val="00E82406"/>
    <w:rsid w:val="00E87991"/>
    <w:rsid w:val="00E908EA"/>
    <w:rsid w:val="00E96F78"/>
    <w:rsid w:val="00EA0E38"/>
    <w:rsid w:val="00EB2749"/>
    <w:rsid w:val="00EB3899"/>
    <w:rsid w:val="00EC26B1"/>
    <w:rsid w:val="00EC554E"/>
    <w:rsid w:val="00EC7619"/>
    <w:rsid w:val="00ED6ED0"/>
    <w:rsid w:val="00EE078F"/>
    <w:rsid w:val="00EE3B0C"/>
    <w:rsid w:val="00EE456E"/>
    <w:rsid w:val="00EF34F2"/>
    <w:rsid w:val="00F01313"/>
    <w:rsid w:val="00F01E4D"/>
    <w:rsid w:val="00F0581F"/>
    <w:rsid w:val="00F11134"/>
    <w:rsid w:val="00F11C89"/>
    <w:rsid w:val="00F16024"/>
    <w:rsid w:val="00F22541"/>
    <w:rsid w:val="00F246CA"/>
    <w:rsid w:val="00F32FF9"/>
    <w:rsid w:val="00F37545"/>
    <w:rsid w:val="00F532C9"/>
    <w:rsid w:val="00F54E98"/>
    <w:rsid w:val="00F63F86"/>
    <w:rsid w:val="00F64F44"/>
    <w:rsid w:val="00F67131"/>
    <w:rsid w:val="00F67987"/>
    <w:rsid w:val="00F70960"/>
    <w:rsid w:val="00F73218"/>
    <w:rsid w:val="00F77F74"/>
    <w:rsid w:val="00F96AC1"/>
    <w:rsid w:val="00FA3EE4"/>
    <w:rsid w:val="00FA54E6"/>
    <w:rsid w:val="00FB4B1E"/>
    <w:rsid w:val="00FC0200"/>
    <w:rsid w:val="00FC5001"/>
    <w:rsid w:val="00FD001E"/>
    <w:rsid w:val="00FD2188"/>
    <w:rsid w:val="00FD2D9E"/>
    <w:rsid w:val="00FD3CE0"/>
    <w:rsid w:val="00FD4A14"/>
    <w:rsid w:val="00FE2664"/>
    <w:rsid w:val="00FE5C58"/>
    <w:rsid w:val="00FE6685"/>
    <w:rsid w:val="00FF076B"/>
    <w:rsid w:val="00FF0AE2"/>
    <w:rsid w:val="00FF0DE4"/>
    <w:rsid w:val="00FF27D1"/>
    <w:rsid w:val="00FF4316"/>
    <w:rsid w:val="00FF4BC2"/>
    <w:rsid w:val="00FF5623"/>
    <w:rsid w:val="00FF72C8"/>
    <w:rsid w:val="00FF7A1E"/>
    <w:rsid w:val="4E57532C"/>
    <w:rsid w:val="50DFE12E"/>
    <w:rsid w:val="572703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5E2A8"/>
  <w15:chartTrackingRefBased/>
  <w15:docId w15:val="{94FB17E6-4F1D-49B7-A3A0-1FB70597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0A96"/>
    <w:rPr>
      <w:sz w:val="22"/>
    </w:rPr>
  </w:style>
  <w:style w:type="paragraph" w:styleId="Kop1">
    <w:name w:val="heading 1"/>
    <w:basedOn w:val="Standaard"/>
    <w:next w:val="Standaard"/>
    <w:autoRedefine/>
    <w:qFormat/>
    <w:rsid w:val="00050A96"/>
    <w:pPr>
      <w:keepNext/>
      <w:outlineLvl w:val="0"/>
    </w:pPr>
    <w:rPr>
      <w:b/>
    </w:rPr>
  </w:style>
  <w:style w:type="paragraph" w:styleId="Kop2">
    <w:name w:val="heading 2"/>
    <w:basedOn w:val="Standaard"/>
    <w:next w:val="Standaard"/>
    <w:autoRedefine/>
    <w:qFormat/>
    <w:rsid w:val="00050A96"/>
    <w:pPr>
      <w:keepNext/>
      <w:outlineLvl w:val="1"/>
    </w:pPr>
    <w:rPr>
      <w:b/>
      <w:i/>
      <w:caps/>
    </w:rPr>
  </w:style>
  <w:style w:type="paragraph" w:styleId="Kop3">
    <w:name w:val="heading 3"/>
    <w:basedOn w:val="Standaard"/>
    <w:next w:val="Standaard"/>
    <w:autoRedefine/>
    <w:qFormat/>
    <w:rsid w:val="00050A96"/>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AD374C"/>
    <w:rPr>
      <w:rFonts w:ascii="Arial" w:hAnsi="Arial" w:cs="Arial"/>
      <w:b/>
      <w:bCs/>
      <w:sz w:val="20"/>
    </w:rPr>
  </w:style>
  <w:style w:type="paragraph" w:styleId="Voettekst">
    <w:name w:val="footer"/>
    <w:basedOn w:val="Standaard"/>
    <w:autoRedefine/>
    <w:rsid w:val="00B6369D"/>
    <w:pPr>
      <w:tabs>
        <w:tab w:val="center" w:pos="4536"/>
        <w:tab w:val="right" w:pos="9072"/>
      </w:tabs>
    </w:pPr>
    <w:rPr>
      <w:rFonts w:ascii="Arial" w:hAnsi="Arial" w:cs="Arial"/>
      <w:sz w:val="18"/>
    </w:rPr>
  </w:style>
  <w:style w:type="table" w:styleId="Tabelraster">
    <w:name w:val="Table Grid"/>
    <w:basedOn w:val="Standaardtabel"/>
    <w:rsid w:val="00E73AFF"/>
    <w:tblPr/>
  </w:style>
  <w:style w:type="paragraph" w:styleId="Koptekst">
    <w:name w:val="header"/>
    <w:basedOn w:val="Standaard"/>
    <w:link w:val="KoptekstChar"/>
    <w:rsid w:val="00865AF2"/>
    <w:pPr>
      <w:tabs>
        <w:tab w:val="center" w:pos="4536"/>
        <w:tab w:val="right" w:pos="9072"/>
      </w:tabs>
    </w:pPr>
  </w:style>
  <w:style w:type="character" w:customStyle="1" w:styleId="KoptekstChar">
    <w:name w:val="Koptekst Char"/>
    <w:link w:val="Koptekst"/>
    <w:rsid w:val="00865AF2"/>
    <w:rPr>
      <w:sz w:val="22"/>
    </w:rPr>
  </w:style>
  <w:style w:type="character" w:styleId="Hyperlink">
    <w:name w:val="Hyperlink"/>
    <w:basedOn w:val="Standaardalinea-lettertype"/>
    <w:uiPriority w:val="99"/>
    <w:rsid w:val="001F071F"/>
    <w:rPr>
      <w:color w:val="467886" w:themeColor="hyperlink"/>
      <w:u w:val="single"/>
    </w:rPr>
  </w:style>
  <w:style w:type="character" w:styleId="Onopgelostemelding">
    <w:name w:val="Unresolved Mention"/>
    <w:basedOn w:val="Standaardalinea-lettertype"/>
    <w:uiPriority w:val="99"/>
    <w:semiHidden/>
    <w:unhideWhenUsed/>
    <w:rsid w:val="001F071F"/>
    <w:rPr>
      <w:color w:val="605E5C"/>
      <w:shd w:val="clear" w:color="auto" w:fill="E1DFDD"/>
    </w:rPr>
  </w:style>
  <w:style w:type="paragraph" w:styleId="Lijstalinea">
    <w:name w:val="List Paragraph"/>
    <w:basedOn w:val="Standaard"/>
    <w:uiPriority w:val="34"/>
    <w:qFormat/>
    <w:rsid w:val="0080192B"/>
    <w:pPr>
      <w:ind w:left="720"/>
      <w:contextualSpacing/>
    </w:pPr>
  </w:style>
  <w:style w:type="paragraph" w:styleId="Revisie">
    <w:name w:val="Revision"/>
    <w:hidden/>
    <w:uiPriority w:val="99"/>
    <w:semiHidden/>
    <w:rsid w:val="001F08A5"/>
    <w:rPr>
      <w:sz w:val="22"/>
    </w:rPr>
  </w:style>
  <w:style w:type="paragraph" w:styleId="Voetnoottekst">
    <w:name w:val="footnote text"/>
    <w:basedOn w:val="Standaard"/>
    <w:link w:val="VoetnoottekstChar"/>
    <w:uiPriority w:val="99"/>
    <w:unhideWhenUsed/>
    <w:rsid w:val="00851B6A"/>
    <w:rPr>
      <w:rFonts w:asciiTheme="minorHAnsi" w:eastAsiaTheme="minorHAnsi" w:hAnsiTheme="minorHAnsi" w:cstheme="minorBidi"/>
      <w:kern w:val="2"/>
      <w:sz w:val="20"/>
      <w:lang w:val="en-GB" w:eastAsia="en-US"/>
      <w14:ligatures w14:val="standardContextual"/>
    </w:rPr>
  </w:style>
  <w:style w:type="character" w:customStyle="1" w:styleId="VoetnoottekstChar">
    <w:name w:val="Voetnoottekst Char"/>
    <w:basedOn w:val="Standaardalinea-lettertype"/>
    <w:link w:val="Voetnoottekst"/>
    <w:uiPriority w:val="99"/>
    <w:rsid w:val="00851B6A"/>
    <w:rPr>
      <w:rFonts w:asciiTheme="minorHAnsi" w:eastAsiaTheme="minorHAnsi" w:hAnsiTheme="minorHAnsi" w:cstheme="minorBidi"/>
      <w:kern w:val="2"/>
      <w:lang w:val="en-GB" w:eastAsia="en-US"/>
      <w14:ligatures w14:val="standardContextual"/>
    </w:rPr>
  </w:style>
  <w:style w:type="character" w:styleId="Voetnootmarkering">
    <w:name w:val="footnote reference"/>
    <w:basedOn w:val="Standaardalinea-lettertype"/>
    <w:uiPriority w:val="99"/>
    <w:unhideWhenUsed/>
    <w:rsid w:val="00851B6A"/>
    <w:rPr>
      <w:vertAlign w:val="superscript"/>
    </w:rPr>
  </w:style>
  <w:style w:type="character" w:styleId="Verwijzingopmerking">
    <w:name w:val="annotation reference"/>
    <w:basedOn w:val="Standaardalinea-lettertype"/>
    <w:uiPriority w:val="99"/>
    <w:unhideWhenUsed/>
    <w:rsid w:val="00851B6A"/>
    <w:rPr>
      <w:sz w:val="16"/>
      <w:szCs w:val="16"/>
    </w:rPr>
  </w:style>
  <w:style w:type="paragraph" w:styleId="Tekstopmerking">
    <w:name w:val="annotation text"/>
    <w:basedOn w:val="Standaard"/>
    <w:link w:val="TekstopmerkingChar"/>
    <w:uiPriority w:val="99"/>
    <w:unhideWhenUsed/>
    <w:rsid w:val="00851B6A"/>
    <w:rPr>
      <w:rFonts w:asciiTheme="minorHAnsi" w:eastAsiaTheme="minorHAnsi" w:hAnsiTheme="minorHAnsi" w:cstheme="minorBidi"/>
      <w:kern w:val="2"/>
      <w:sz w:val="20"/>
      <w:lang w:val="en-GB" w:eastAsia="en-US"/>
      <w14:ligatures w14:val="standardContextual"/>
    </w:rPr>
  </w:style>
  <w:style w:type="character" w:customStyle="1" w:styleId="TekstopmerkingChar">
    <w:name w:val="Tekst opmerking Char"/>
    <w:basedOn w:val="Standaardalinea-lettertype"/>
    <w:link w:val="Tekstopmerking"/>
    <w:uiPriority w:val="99"/>
    <w:rsid w:val="00851B6A"/>
    <w:rPr>
      <w:rFonts w:asciiTheme="minorHAnsi" w:eastAsiaTheme="minorHAnsi" w:hAnsiTheme="minorHAnsi" w:cstheme="minorBidi"/>
      <w:kern w:val="2"/>
      <w:lang w:val="en-GB" w:eastAsia="en-US"/>
      <w14:ligatures w14:val="standardContextual"/>
    </w:rPr>
  </w:style>
  <w:style w:type="paragraph" w:styleId="Onderwerpvanopmerking">
    <w:name w:val="annotation subject"/>
    <w:basedOn w:val="Tekstopmerking"/>
    <w:next w:val="Tekstopmerking"/>
    <w:link w:val="OnderwerpvanopmerkingChar"/>
    <w:rsid w:val="00047E03"/>
    <w:rPr>
      <w:rFonts w:ascii="Times New Roman" w:eastAsia="Times New Roman" w:hAnsi="Times New Roman" w:cs="Times New Roman"/>
      <w:b/>
      <w:bCs/>
      <w:kern w:val="0"/>
      <w:lang w:val="nl-NL" w:eastAsia="nl-NL"/>
      <w14:ligatures w14:val="none"/>
    </w:rPr>
  </w:style>
  <w:style w:type="character" w:customStyle="1" w:styleId="OnderwerpvanopmerkingChar">
    <w:name w:val="Onderwerp van opmerking Char"/>
    <w:basedOn w:val="TekstopmerkingChar"/>
    <w:link w:val="Onderwerpvanopmerking"/>
    <w:rsid w:val="00047E03"/>
    <w:rPr>
      <w:rFonts w:asciiTheme="minorHAnsi" w:eastAsiaTheme="minorHAnsi" w:hAnsiTheme="minorHAnsi" w:cstheme="minorBidi"/>
      <w:b/>
      <w:bCs/>
      <w:kern w:val="2"/>
      <w:lang w:val="en-GB" w:eastAsia="en-US"/>
      <w14:ligatures w14:val="standardContextual"/>
    </w:rPr>
  </w:style>
  <w:style w:type="character" w:styleId="GevolgdeHyperlink">
    <w:name w:val="FollowedHyperlink"/>
    <w:basedOn w:val="Standaardalinea-lettertype"/>
    <w:rsid w:val="00F37545"/>
    <w:rPr>
      <w:color w:val="96607D" w:themeColor="followedHyperlink"/>
      <w:u w:val="single"/>
    </w:rPr>
  </w:style>
  <w:style w:type="paragraph" w:customStyle="1" w:styleId="paragraph">
    <w:name w:val="paragraph"/>
    <w:basedOn w:val="Standaard"/>
    <w:rsid w:val="001A4DF6"/>
    <w:pPr>
      <w:spacing w:before="100" w:beforeAutospacing="1" w:after="100" w:afterAutospacing="1"/>
    </w:pPr>
    <w:rPr>
      <w:sz w:val="24"/>
      <w:szCs w:val="24"/>
    </w:rPr>
  </w:style>
  <w:style w:type="character" w:customStyle="1" w:styleId="normaltextrun">
    <w:name w:val="normaltextrun"/>
    <w:basedOn w:val="Standaardalinea-lettertype"/>
    <w:rsid w:val="001A4DF6"/>
  </w:style>
  <w:style w:type="character" w:customStyle="1" w:styleId="eop">
    <w:name w:val="eop"/>
    <w:basedOn w:val="Standaardalinea-lettertype"/>
    <w:rsid w:val="001A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812675">
      <w:bodyDiv w:val="1"/>
      <w:marLeft w:val="0"/>
      <w:marRight w:val="0"/>
      <w:marTop w:val="0"/>
      <w:marBottom w:val="0"/>
      <w:divBdr>
        <w:top w:val="none" w:sz="0" w:space="0" w:color="auto"/>
        <w:left w:val="none" w:sz="0" w:space="0" w:color="auto"/>
        <w:bottom w:val="none" w:sz="0" w:space="0" w:color="auto"/>
        <w:right w:val="none" w:sz="0" w:space="0" w:color="auto"/>
      </w:divBdr>
      <w:divsChild>
        <w:div w:id="1449860421">
          <w:marLeft w:val="0"/>
          <w:marRight w:val="0"/>
          <w:marTop w:val="0"/>
          <w:marBottom w:val="0"/>
          <w:divBdr>
            <w:top w:val="none" w:sz="0" w:space="0" w:color="auto"/>
            <w:left w:val="none" w:sz="0" w:space="0" w:color="auto"/>
            <w:bottom w:val="none" w:sz="0" w:space="0" w:color="auto"/>
            <w:right w:val="none" w:sz="0" w:space="0" w:color="auto"/>
          </w:divBdr>
        </w:div>
        <w:div w:id="2106069245">
          <w:marLeft w:val="0"/>
          <w:marRight w:val="0"/>
          <w:marTop w:val="0"/>
          <w:marBottom w:val="0"/>
          <w:divBdr>
            <w:top w:val="none" w:sz="0" w:space="0" w:color="auto"/>
            <w:left w:val="none" w:sz="0" w:space="0" w:color="auto"/>
            <w:bottom w:val="none" w:sz="0" w:space="0" w:color="auto"/>
            <w:right w:val="none" w:sz="0" w:space="0" w:color="auto"/>
          </w:divBdr>
        </w:div>
      </w:divsChild>
    </w:div>
    <w:div w:id="1575703434">
      <w:bodyDiv w:val="1"/>
      <w:marLeft w:val="0"/>
      <w:marRight w:val="0"/>
      <w:marTop w:val="0"/>
      <w:marBottom w:val="0"/>
      <w:divBdr>
        <w:top w:val="none" w:sz="0" w:space="0" w:color="auto"/>
        <w:left w:val="none" w:sz="0" w:space="0" w:color="auto"/>
        <w:bottom w:val="none" w:sz="0" w:space="0" w:color="auto"/>
        <w:right w:val="none" w:sz="0" w:space="0" w:color="auto"/>
      </w:divBdr>
    </w:div>
    <w:div w:id="18398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Nieuwe%20NBA-sjablonen%20juli%202023\NBA-Algemeen;%20notities,%20agenda,%20notulen,%20etc\NBA%20Notitie_2023.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10" ma:contentTypeDescription="Een nieuw document maken." ma:contentTypeScope="" ma:versionID="a2d2a87dd81bd283ef55ebca96b2ac29">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1bb7888f69d9f92088211343af48fb3b"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96A94-EC71-4504-BDFE-642FEBFF480A}">
  <ds:schemaRefs>
    <ds:schemaRef ds:uri="http://purl.org/dc/terms/"/>
    <ds:schemaRef ds:uri="6e51bfaf-d5b1-4d15-a7e0-962f771743e7"/>
    <ds:schemaRef ds:uri="597130b8-dec9-4d7c-b45b-e8ec1c62665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BD1A53C-0E63-44AE-AFCE-542FA296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DC5E5-FED0-4117-98ED-74EBA703BC35}">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NBA Notitie_2023</Template>
  <TotalTime>2</TotalTime>
  <Pages>1</Pages>
  <Words>256</Words>
  <Characters>1571</Characters>
  <Application>Microsoft Office Word</Application>
  <DocSecurity>0</DocSecurity>
  <Lines>13</Lines>
  <Paragraphs>3</Paragraphs>
  <ScaleCrop>false</ScaleCrop>
  <Company>Koninklijk NIVRA</Company>
  <LinksUpToDate>false</LinksUpToDate>
  <CharactersWithSpaces>1824</CharactersWithSpaces>
  <SharedDoc>false</SharedDoc>
  <HLinks>
    <vt:vector size="24" baseType="variant">
      <vt:variant>
        <vt:i4>7995454</vt:i4>
      </vt:variant>
      <vt:variant>
        <vt:i4>3</vt:i4>
      </vt:variant>
      <vt:variant>
        <vt:i4>0</vt:i4>
      </vt:variant>
      <vt:variant>
        <vt:i4>5</vt:i4>
      </vt:variant>
      <vt:variant>
        <vt:lpwstr>https://rj.nl.kworld.kpmg.com/RJG/cp/0496/id-356cb9e0-79d4-441e-91ef-c85aa50fe363.html</vt:lpwstr>
      </vt:variant>
      <vt:variant>
        <vt:lpwstr/>
      </vt:variant>
      <vt:variant>
        <vt:i4>6684716</vt:i4>
      </vt:variant>
      <vt:variant>
        <vt:i4>0</vt:i4>
      </vt:variant>
      <vt:variant>
        <vt:i4>0</vt:i4>
      </vt:variant>
      <vt:variant>
        <vt:i4>5</vt:i4>
      </vt:variant>
      <vt:variant>
        <vt:lpwstr>https://urldefense.com/v3/__https:/wetten.overheid.nl/BWBR0035575/2021-11-26/0__;!!E1R1dd1bLLODlQ4!DqNWVS1keIEI26GdWWEveWx0E30R9nNOiFobfRloslRDDwiwjPZQRTy2YKWNsnvLMHQLU5z8vDpJf7oD9WR88Y0zYhQ$</vt:lpwstr>
      </vt:variant>
      <vt:variant>
        <vt:lpwstr/>
      </vt:variant>
      <vt:variant>
        <vt:i4>6684716</vt:i4>
      </vt:variant>
      <vt:variant>
        <vt:i4>6</vt:i4>
      </vt:variant>
      <vt:variant>
        <vt:i4>0</vt:i4>
      </vt:variant>
      <vt:variant>
        <vt:i4>5</vt:i4>
      </vt:variant>
      <vt:variant>
        <vt:lpwstr>https://urldefense.com/v3/__https:/wetten.overheid.nl/BWBR0035575/2021-11-26/0__;!!E1R1dd1bLLODlQ4!DqNWVS1keIEI26GdWWEveWx0E30R9nNOiFobfRloslRDDwiwjPZQRTy2YKWNsnvLMHQLU5z8vDpJf7oD9WR88Y0zYhQ$</vt:lpwstr>
      </vt:variant>
      <vt:variant>
        <vt:lpwstr/>
      </vt:variant>
      <vt:variant>
        <vt:i4>6684716</vt:i4>
      </vt:variant>
      <vt:variant>
        <vt:i4>3</vt:i4>
      </vt:variant>
      <vt:variant>
        <vt:i4>0</vt:i4>
      </vt:variant>
      <vt:variant>
        <vt:i4>5</vt:i4>
      </vt:variant>
      <vt:variant>
        <vt:lpwstr>https://urldefense.com/v3/__https:/wetten.overheid.nl/BWBR0035575/2021-11-26/0__;!!E1R1dd1bLLODlQ4!DqNWVS1keIEI26GdWWEveWx0E30R9nNOiFobfRloslRDDwiwjPZQRTy2YKWNsnvLMHQLU5z8vDpJf7oD9WR88Y0zYhQ$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Andre Broers</dc:creator>
  <cp:keywords/>
  <cp:lastModifiedBy>Andre Broers</cp:lastModifiedBy>
  <cp:revision>3</cp:revision>
  <cp:lastPrinted>2010-11-16T21:48:00Z</cp:lastPrinted>
  <dcterms:created xsi:type="dcterms:W3CDTF">2026-01-15T14:34:00Z</dcterms:created>
  <dcterms:modified xsi:type="dcterms:W3CDTF">2026-01-15T14:36:00Z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0x0101003DCC9426C791DA41859A7269277315A0</vt:lpwstr>
  </property>
</Properties>
</file>