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849E9" w14:textId="56DBCFE6" w:rsidR="00B51A6C" w:rsidRPr="00694106" w:rsidRDefault="00C37A69" w:rsidP="00226811">
      <w:pPr>
        <w:rPr>
          <w:rFonts w:cs="Arial"/>
          <w:bCs/>
          <w:i/>
          <w:iCs/>
          <w:sz w:val="22"/>
          <w:szCs w:val="22"/>
        </w:rPr>
      </w:pPr>
      <w:r w:rsidRPr="00694106">
        <w:rPr>
          <w:rFonts w:cs="Arial"/>
          <w:bCs/>
          <w:i/>
          <w:iCs/>
          <w:sz w:val="22"/>
          <w:szCs w:val="22"/>
        </w:rPr>
        <w:t xml:space="preserve">(Controle)verklaringen in nieuw format voor verslagperioden die zijn aangevangen op of na 15 december 2020 </w:t>
      </w:r>
    </w:p>
    <w:p w14:paraId="23883AF3" w14:textId="7A1C58A6" w:rsidR="00B51A6C" w:rsidRDefault="00B51A6C" w:rsidP="00226811">
      <w:pPr>
        <w:pBdr>
          <w:bottom w:val="single" w:sz="6" w:space="1" w:color="auto"/>
        </w:pBdr>
        <w:rPr>
          <w:rFonts w:cs="Arial"/>
        </w:rPr>
      </w:pPr>
    </w:p>
    <w:p w14:paraId="52AEFA8D" w14:textId="77777777" w:rsidR="002E47F7" w:rsidRPr="00226811" w:rsidRDefault="002E47F7" w:rsidP="00226811">
      <w:pPr>
        <w:rPr>
          <w:rFonts w:cs="Arial"/>
        </w:rPr>
      </w:pPr>
    </w:p>
    <w:p w14:paraId="083E8C73" w14:textId="77777777" w:rsidR="00B51A6C" w:rsidRPr="00694106" w:rsidRDefault="00C37A69" w:rsidP="00226811">
      <w:pPr>
        <w:rPr>
          <w:rFonts w:cs="Arial"/>
          <w:sz w:val="22"/>
          <w:szCs w:val="22"/>
          <w:lang w:val="en-US"/>
        </w:rPr>
      </w:pPr>
      <w:r w:rsidRPr="00694106">
        <w:rPr>
          <w:rFonts w:cs="Arial"/>
          <w:b/>
          <w:sz w:val="22"/>
          <w:szCs w:val="22"/>
          <w:lang w:val="en-US"/>
        </w:rPr>
        <w:t xml:space="preserve">INDEPENDENT AUDITOR'S REPORT </w:t>
      </w:r>
    </w:p>
    <w:p w14:paraId="21C02EEF" w14:textId="77777777" w:rsidR="002E47F7" w:rsidRPr="00BB1D7A" w:rsidRDefault="002E47F7" w:rsidP="00226811">
      <w:pPr>
        <w:rPr>
          <w:rFonts w:cs="Arial"/>
          <w:lang w:val="en-US"/>
        </w:rPr>
      </w:pPr>
    </w:p>
    <w:p w14:paraId="629EC3AF" w14:textId="7FADF7EA" w:rsidR="00B51A6C" w:rsidRPr="00BB1D7A" w:rsidRDefault="00C37A69" w:rsidP="00226811">
      <w:pPr>
        <w:rPr>
          <w:rFonts w:cs="Arial"/>
          <w:lang w:val="en-US"/>
        </w:rPr>
      </w:pPr>
      <w:r w:rsidRPr="00BB1D7A">
        <w:rPr>
          <w:rFonts w:cs="Arial"/>
          <w:lang w:val="en-US"/>
        </w:rPr>
        <w:t xml:space="preserve">To: </w:t>
      </w:r>
      <w:r w:rsidR="00061AB4">
        <w:rPr>
          <w:rFonts w:cs="Arial"/>
          <w:lang w:val="en-US"/>
        </w:rPr>
        <w:t>t</w:t>
      </w:r>
      <w:r w:rsidRPr="00BB1D7A">
        <w:rPr>
          <w:rFonts w:cs="Arial"/>
          <w:lang w:val="en-US"/>
        </w:rPr>
        <w:t xml:space="preserve">he shareholders of ... (naam </w:t>
      </w:r>
      <w:proofErr w:type="spellStart"/>
      <w:r w:rsidRPr="00BB1D7A">
        <w:rPr>
          <w:rFonts w:cs="Arial"/>
          <w:lang w:val="en-US"/>
        </w:rPr>
        <w:t>entiteit</w:t>
      </w:r>
      <w:proofErr w:type="spellEnd"/>
      <w:r w:rsidRPr="00BB1D7A">
        <w:rPr>
          <w:rFonts w:cs="Arial"/>
          <w:lang w:val="en-US"/>
        </w:rPr>
        <w:t>(</w:t>
      </w:r>
      <w:proofErr w:type="spellStart"/>
      <w:r w:rsidRPr="00BB1D7A">
        <w:rPr>
          <w:rFonts w:cs="Arial"/>
          <w:lang w:val="en-US"/>
        </w:rPr>
        <w:t>en</w:t>
      </w:r>
      <w:proofErr w:type="spellEnd"/>
      <w:r w:rsidRPr="00BB1D7A">
        <w:rPr>
          <w:rFonts w:cs="Arial"/>
          <w:lang w:val="en-US"/>
        </w:rPr>
        <w:t>))</w:t>
      </w:r>
      <w:r w:rsidRPr="00BB1D7A">
        <w:rPr>
          <w:rFonts w:cs="Arial"/>
          <w:vertAlign w:val="superscript"/>
        </w:rPr>
        <w:footnoteReference w:id="1"/>
      </w:r>
      <w:r w:rsidRPr="00BB1D7A">
        <w:rPr>
          <w:rFonts w:cs="Arial"/>
          <w:lang w:val="en-US"/>
        </w:rPr>
        <w:t xml:space="preserve"> </w:t>
      </w:r>
    </w:p>
    <w:p w14:paraId="672F7F58" w14:textId="77777777" w:rsidR="002E47F7" w:rsidRPr="00BB1D7A" w:rsidRDefault="002E47F7" w:rsidP="00226811">
      <w:pPr>
        <w:rPr>
          <w:lang w:val="en-US"/>
        </w:rPr>
      </w:pPr>
    </w:p>
    <w:p w14:paraId="7FC5FB58" w14:textId="77777777" w:rsidR="00B51A6C" w:rsidRPr="00694106" w:rsidRDefault="00C37A69" w:rsidP="00226811">
      <w:pPr>
        <w:rPr>
          <w:rFonts w:cs="Arial"/>
          <w:sz w:val="22"/>
          <w:szCs w:val="22"/>
          <w:lang w:val="en-US"/>
        </w:rPr>
      </w:pPr>
      <w:r w:rsidRPr="00694106">
        <w:rPr>
          <w:rFonts w:cs="Arial"/>
          <w:b/>
          <w:sz w:val="22"/>
          <w:szCs w:val="22"/>
          <w:lang w:val="en-US"/>
        </w:rPr>
        <w:t>Report on the audit of the financial statements YYYY</w:t>
      </w:r>
      <w:r w:rsidRPr="00694106">
        <w:rPr>
          <w:rFonts w:cs="Arial"/>
          <w:b/>
          <w:sz w:val="22"/>
          <w:szCs w:val="22"/>
          <w:vertAlign w:val="superscript"/>
        </w:rPr>
        <w:footnoteReference w:id="2"/>
      </w:r>
      <w:r w:rsidRPr="00694106">
        <w:rPr>
          <w:rFonts w:cs="Arial"/>
          <w:b/>
          <w:sz w:val="22"/>
          <w:szCs w:val="22"/>
          <w:lang w:val="en-US"/>
        </w:rPr>
        <w:t> included in the annual report</w:t>
      </w:r>
      <w:r w:rsidRPr="00694106">
        <w:rPr>
          <w:rFonts w:cs="Arial"/>
          <w:b/>
          <w:sz w:val="22"/>
          <w:szCs w:val="22"/>
          <w:vertAlign w:val="superscript"/>
        </w:rPr>
        <w:footnoteReference w:id="3"/>
      </w:r>
      <w:r w:rsidRPr="00694106">
        <w:rPr>
          <w:rFonts w:cs="Arial"/>
          <w:b/>
          <w:sz w:val="22"/>
          <w:szCs w:val="22"/>
          <w:lang w:val="en-US"/>
        </w:rPr>
        <w:t xml:space="preserve"> </w:t>
      </w:r>
    </w:p>
    <w:p w14:paraId="2A12AFB2" w14:textId="77777777" w:rsidR="002E47F7" w:rsidRPr="00BB1D7A" w:rsidRDefault="002E47F7" w:rsidP="00226811">
      <w:pPr>
        <w:rPr>
          <w:rFonts w:cs="Arial"/>
          <w:lang w:val="en-US"/>
        </w:rPr>
      </w:pPr>
    </w:p>
    <w:p w14:paraId="694858F3" w14:textId="77777777" w:rsidR="00B51A6C" w:rsidRPr="00BB1D7A" w:rsidRDefault="00C37A69" w:rsidP="00226811">
      <w:pPr>
        <w:rPr>
          <w:rFonts w:cs="Arial"/>
          <w:lang w:val="en-US"/>
        </w:rPr>
      </w:pPr>
      <w:r w:rsidRPr="00BB1D7A">
        <w:rPr>
          <w:rFonts w:cs="Arial"/>
          <w:b/>
          <w:lang w:val="en-US"/>
        </w:rPr>
        <w:t>Our opinion</w:t>
      </w:r>
    </w:p>
    <w:p w14:paraId="17895765" w14:textId="77777777" w:rsidR="00B51A6C" w:rsidRPr="00BB1D7A" w:rsidRDefault="00C37A69" w:rsidP="00226811">
      <w:pPr>
        <w:rPr>
          <w:rFonts w:cs="Arial"/>
          <w:lang w:val="en-US"/>
        </w:rPr>
      </w:pPr>
      <w:r w:rsidRPr="00BB1D7A">
        <w:rPr>
          <w:rFonts w:cs="Arial"/>
          <w:lang w:val="en-US"/>
        </w:rPr>
        <w:t xml:space="preserve">We have audited the financial statements YYYY (of </w:t>
      </w:r>
      <w:proofErr w:type="spellStart"/>
      <w:r w:rsidRPr="00BB1D7A">
        <w:rPr>
          <w:rFonts w:cs="Arial"/>
          <w:lang w:val="en-US"/>
        </w:rPr>
        <w:t>voor</w:t>
      </w:r>
      <w:proofErr w:type="spellEnd"/>
      <w:r w:rsidRPr="00BB1D7A">
        <w:rPr>
          <w:rFonts w:cs="Arial"/>
          <w:lang w:val="en-US"/>
        </w:rPr>
        <w:t xml:space="preserve"> </w:t>
      </w:r>
      <w:proofErr w:type="spellStart"/>
      <w:r w:rsidRPr="00BB1D7A">
        <w:rPr>
          <w:rFonts w:cs="Arial"/>
          <w:lang w:val="en-US"/>
        </w:rPr>
        <w:t>een</w:t>
      </w:r>
      <w:proofErr w:type="spellEnd"/>
      <w:r w:rsidRPr="00BB1D7A">
        <w:rPr>
          <w:rFonts w:cs="Arial"/>
          <w:lang w:val="en-US"/>
        </w:rPr>
        <w:t xml:space="preserve"> </w:t>
      </w:r>
      <w:proofErr w:type="spellStart"/>
      <w:r w:rsidRPr="00BB1D7A">
        <w:rPr>
          <w:rFonts w:cs="Arial"/>
          <w:lang w:val="en-US"/>
        </w:rPr>
        <w:t>gebroken</w:t>
      </w:r>
      <w:proofErr w:type="spellEnd"/>
      <w:r w:rsidRPr="00BB1D7A">
        <w:rPr>
          <w:rFonts w:cs="Arial"/>
          <w:lang w:val="en-US"/>
        </w:rPr>
        <w:t xml:space="preserve"> </w:t>
      </w:r>
      <w:proofErr w:type="spellStart"/>
      <w:r w:rsidRPr="00BB1D7A">
        <w:rPr>
          <w:rFonts w:cs="Arial"/>
          <w:lang w:val="en-US"/>
        </w:rPr>
        <w:t>boekjaar</w:t>
      </w:r>
      <w:proofErr w:type="spellEnd"/>
      <w:r w:rsidRPr="00BB1D7A">
        <w:rPr>
          <w:rFonts w:cs="Arial"/>
          <w:lang w:val="en-US"/>
        </w:rPr>
        <w:t xml:space="preserve">: for the year ended 30 June YYYY) of ... (naam </w:t>
      </w:r>
      <w:proofErr w:type="spellStart"/>
      <w:r w:rsidRPr="00BB1D7A">
        <w:rPr>
          <w:rFonts w:cs="Arial"/>
          <w:lang w:val="en-US"/>
        </w:rPr>
        <w:t>entiteit</w:t>
      </w:r>
      <w:proofErr w:type="spellEnd"/>
      <w:r w:rsidRPr="00BB1D7A">
        <w:rPr>
          <w:rFonts w:cs="Arial"/>
          <w:lang w:val="en-US"/>
        </w:rPr>
        <w:t>(</w:t>
      </w:r>
      <w:proofErr w:type="spellStart"/>
      <w:r w:rsidRPr="00BB1D7A">
        <w:rPr>
          <w:rFonts w:cs="Arial"/>
          <w:lang w:val="en-US"/>
        </w:rPr>
        <w:t>en</w:t>
      </w:r>
      <w:proofErr w:type="spellEnd"/>
      <w:r w:rsidRPr="00BB1D7A">
        <w:rPr>
          <w:rFonts w:cs="Arial"/>
          <w:lang w:val="en-US"/>
        </w:rPr>
        <w:t>)) based in ... ((</w:t>
      </w:r>
      <w:proofErr w:type="spellStart"/>
      <w:r w:rsidRPr="00BB1D7A">
        <w:rPr>
          <w:rFonts w:cs="Arial"/>
          <w:lang w:val="en-US"/>
        </w:rPr>
        <w:t>statutaire</w:t>
      </w:r>
      <w:proofErr w:type="spellEnd"/>
      <w:r w:rsidRPr="00BB1D7A">
        <w:rPr>
          <w:rFonts w:cs="Arial"/>
          <w:lang w:val="en-US"/>
        </w:rPr>
        <w:t xml:space="preserve">) </w:t>
      </w:r>
      <w:proofErr w:type="spellStart"/>
      <w:r w:rsidRPr="00BB1D7A">
        <w:rPr>
          <w:rFonts w:cs="Arial"/>
          <w:lang w:val="en-US"/>
        </w:rPr>
        <w:t>vestigingsplaats</w:t>
      </w:r>
      <w:proofErr w:type="spellEnd"/>
      <w:r w:rsidRPr="00BB1D7A">
        <w:rPr>
          <w:rFonts w:cs="Arial"/>
          <w:lang w:val="en-US"/>
        </w:rPr>
        <w:t xml:space="preserve">).  </w:t>
      </w:r>
    </w:p>
    <w:p w14:paraId="0AEA6D80" w14:textId="77777777" w:rsidR="00B51A6C" w:rsidRPr="00BB1D7A" w:rsidRDefault="00B51A6C" w:rsidP="00226811">
      <w:pPr>
        <w:rPr>
          <w:rFonts w:cs="Arial"/>
          <w:lang w:val="en-US"/>
        </w:rPr>
      </w:pPr>
    </w:p>
    <w:p w14:paraId="5E7776A1" w14:textId="77777777" w:rsidR="00B51A6C" w:rsidRPr="00BB1D7A" w:rsidRDefault="00C37A69" w:rsidP="00226811">
      <w:pPr>
        <w:rPr>
          <w:rFonts w:cs="Arial"/>
          <w:lang w:val="en-US"/>
        </w:rPr>
      </w:pPr>
      <w:r w:rsidRPr="00BB1D7A">
        <w:rPr>
          <w:rFonts w:cs="Arial"/>
          <w:lang w:val="en-US"/>
        </w:rPr>
        <w:t xml:space="preserve">In our opinion, the accompanying financial statements give a true and fair view of the financial position of ... (naam </w:t>
      </w:r>
      <w:proofErr w:type="spellStart"/>
      <w:r w:rsidRPr="00BB1D7A">
        <w:rPr>
          <w:rFonts w:cs="Arial"/>
          <w:lang w:val="en-US"/>
        </w:rPr>
        <w:t>entiteit</w:t>
      </w:r>
      <w:proofErr w:type="spellEnd"/>
      <w:r w:rsidRPr="00BB1D7A">
        <w:rPr>
          <w:rFonts w:cs="Arial"/>
          <w:lang w:val="en-US"/>
        </w:rPr>
        <w:t>(</w:t>
      </w:r>
      <w:proofErr w:type="spellStart"/>
      <w:r w:rsidRPr="00BB1D7A">
        <w:rPr>
          <w:rFonts w:cs="Arial"/>
          <w:lang w:val="en-US"/>
        </w:rPr>
        <w:t>en</w:t>
      </w:r>
      <w:proofErr w:type="spellEnd"/>
      <w:r w:rsidRPr="00BB1D7A">
        <w:rPr>
          <w:rFonts w:cs="Arial"/>
          <w:lang w:val="en-US"/>
        </w:rPr>
        <w:t xml:space="preserve">)) as at 31 December YYYY (of </w:t>
      </w:r>
      <w:proofErr w:type="spellStart"/>
      <w:r w:rsidRPr="00BB1D7A">
        <w:rPr>
          <w:rFonts w:cs="Arial"/>
          <w:lang w:val="en-US"/>
        </w:rPr>
        <w:t>voor</w:t>
      </w:r>
      <w:proofErr w:type="spellEnd"/>
      <w:r w:rsidRPr="00BB1D7A">
        <w:rPr>
          <w:rFonts w:cs="Arial"/>
          <w:lang w:val="en-US"/>
        </w:rPr>
        <w:t xml:space="preserve"> </w:t>
      </w:r>
      <w:proofErr w:type="spellStart"/>
      <w:r w:rsidRPr="00BB1D7A">
        <w:rPr>
          <w:rFonts w:cs="Arial"/>
          <w:lang w:val="en-US"/>
        </w:rPr>
        <w:t>een</w:t>
      </w:r>
      <w:proofErr w:type="spellEnd"/>
      <w:r w:rsidRPr="00BB1D7A">
        <w:rPr>
          <w:rFonts w:cs="Arial"/>
          <w:lang w:val="en-US"/>
        </w:rPr>
        <w:t xml:space="preserve"> </w:t>
      </w:r>
      <w:proofErr w:type="spellStart"/>
      <w:r w:rsidRPr="00BB1D7A">
        <w:rPr>
          <w:rFonts w:cs="Arial"/>
          <w:lang w:val="en-US"/>
        </w:rPr>
        <w:t>gebroken</w:t>
      </w:r>
      <w:proofErr w:type="spellEnd"/>
      <w:r w:rsidRPr="00BB1D7A">
        <w:rPr>
          <w:rFonts w:cs="Arial"/>
          <w:lang w:val="en-US"/>
        </w:rPr>
        <w:t xml:space="preserve"> </w:t>
      </w:r>
      <w:proofErr w:type="spellStart"/>
      <w:r w:rsidRPr="00BB1D7A">
        <w:rPr>
          <w:rFonts w:cs="Arial"/>
          <w:lang w:val="en-US"/>
        </w:rPr>
        <w:t>boekjaar</w:t>
      </w:r>
      <w:proofErr w:type="spellEnd"/>
      <w:r w:rsidRPr="00BB1D7A">
        <w:rPr>
          <w:rFonts w:cs="Arial"/>
          <w:lang w:val="en-US"/>
        </w:rPr>
        <w:t>: 30 June YYYY) and of its result for YYYY</w:t>
      </w:r>
      <w:r w:rsidRPr="00BB1D7A">
        <w:rPr>
          <w:rFonts w:cs="Arial"/>
          <w:vertAlign w:val="superscript"/>
        </w:rPr>
        <w:footnoteReference w:id="4"/>
      </w:r>
      <w:r w:rsidRPr="00BB1D7A">
        <w:rPr>
          <w:rFonts w:cs="Arial"/>
          <w:lang w:val="en-US"/>
        </w:rPr>
        <w:t> in accordance with Part 9 of Book 2 of the Dutch Civil Code</w:t>
      </w:r>
      <w:r w:rsidRPr="00BB1D7A">
        <w:rPr>
          <w:rFonts w:cs="Arial"/>
          <w:vertAlign w:val="superscript"/>
        </w:rPr>
        <w:footnoteReference w:id="5"/>
      </w:r>
      <w:r w:rsidRPr="00BB1D7A">
        <w:rPr>
          <w:rFonts w:cs="Arial"/>
          <w:lang w:val="en-US"/>
        </w:rPr>
        <w:t xml:space="preserve">. </w:t>
      </w:r>
    </w:p>
    <w:p w14:paraId="280EE1FF" w14:textId="38334D3B" w:rsidR="00B51A6C" w:rsidRPr="00BB1D7A" w:rsidRDefault="00B51A6C" w:rsidP="00226811">
      <w:pPr>
        <w:rPr>
          <w:rFonts w:cs="Arial"/>
          <w:lang w:val="en-US"/>
        </w:rPr>
      </w:pPr>
    </w:p>
    <w:p w14:paraId="5E00AF81" w14:textId="77777777" w:rsidR="00B51A6C" w:rsidRPr="00BB1D7A" w:rsidRDefault="00C37A69" w:rsidP="00226811">
      <w:pPr>
        <w:numPr>
          <w:ilvl w:val="0"/>
          <w:numId w:val="1"/>
        </w:numPr>
        <w:ind w:left="364" w:hanging="363"/>
        <w:rPr>
          <w:rFonts w:cs="Arial"/>
          <w:lang w:val="en-US"/>
        </w:rPr>
      </w:pPr>
      <w:r w:rsidRPr="00BB1D7A">
        <w:rPr>
          <w:rFonts w:cs="Arial"/>
          <w:lang w:val="en-US"/>
        </w:rPr>
        <w:t xml:space="preserve">the balance sheet as at 31 December YYYY; </w:t>
      </w:r>
    </w:p>
    <w:p w14:paraId="5B59C6B9" w14:textId="77777777" w:rsidR="00B51A6C" w:rsidRPr="00BB1D7A" w:rsidRDefault="00C37A69" w:rsidP="00226811">
      <w:pPr>
        <w:numPr>
          <w:ilvl w:val="0"/>
          <w:numId w:val="1"/>
        </w:numPr>
        <w:ind w:left="364" w:hanging="363"/>
        <w:rPr>
          <w:rFonts w:cs="Arial"/>
          <w:lang w:val="en-US"/>
        </w:rPr>
      </w:pPr>
      <w:r w:rsidRPr="00BB1D7A">
        <w:rPr>
          <w:rFonts w:cs="Arial"/>
          <w:lang w:val="en-US"/>
        </w:rPr>
        <w:t xml:space="preserve">the profit and loss account for YYYY; and </w:t>
      </w:r>
    </w:p>
    <w:p w14:paraId="1E297F66" w14:textId="7166FD7C" w:rsidR="00B51A6C" w:rsidRPr="00BB1D7A" w:rsidRDefault="00C37A69" w:rsidP="00226811">
      <w:pPr>
        <w:numPr>
          <w:ilvl w:val="0"/>
          <w:numId w:val="1"/>
        </w:numPr>
        <w:ind w:left="364" w:hanging="363"/>
        <w:rPr>
          <w:rFonts w:cs="Arial"/>
          <w:lang w:val="en-US"/>
        </w:rPr>
      </w:pPr>
      <w:r w:rsidRPr="00BB1D7A">
        <w:rPr>
          <w:rFonts w:cs="Arial"/>
          <w:lang w:val="en-US"/>
        </w:rPr>
        <w:t>the notes comprising of a summary of the accounting policies and other explanatory information.</w:t>
      </w:r>
      <w:r w:rsidRPr="00BB1D7A">
        <w:rPr>
          <w:rFonts w:cs="Arial"/>
          <w:vertAlign w:val="superscript"/>
        </w:rPr>
        <w:footnoteReference w:id="6"/>
      </w:r>
      <w:r w:rsidRPr="00BB1D7A">
        <w:rPr>
          <w:rFonts w:cs="Arial"/>
          <w:lang w:val="en-US"/>
        </w:rPr>
        <w:t xml:space="preserve"> </w:t>
      </w:r>
    </w:p>
    <w:p w14:paraId="29EB10AA" w14:textId="77777777" w:rsidR="002E47F7" w:rsidRPr="00BB1D7A" w:rsidRDefault="002E47F7" w:rsidP="00226811">
      <w:pPr>
        <w:rPr>
          <w:rFonts w:cs="Arial"/>
          <w:lang w:val="en-US"/>
        </w:rPr>
      </w:pPr>
    </w:p>
    <w:p w14:paraId="39093DE1" w14:textId="77777777" w:rsidR="00B51A6C" w:rsidRPr="00BB1D7A" w:rsidRDefault="00C37A69" w:rsidP="00226811">
      <w:pPr>
        <w:rPr>
          <w:rFonts w:cs="Arial"/>
          <w:lang w:val="en-US"/>
        </w:rPr>
      </w:pPr>
      <w:r w:rsidRPr="00BB1D7A">
        <w:rPr>
          <w:rFonts w:cs="Arial"/>
          <w:b/>
          <w:lang w:val="en-US"/>
        </w:rPr>
        <w:t>Basis for our opinion</w:t>
      </w:r>
    </w:p>
    <w:p w14:paraId="3297A1B4" w14:textId="372ACE64" w:rsidR="00B51A6C" w:rsidRDefault="00C37A69" w:rsidP="00226811">
      <w:pPr>
        <w:rPr>
          <w:rFonts w:cs="Arial"/>
          <w:lang w:val="en-US"/>
        </w:rPr>
      </w:pPr>
      <w:r w:rsidRPr="00BB1D7A">
        <w:rPr>
          <w:rFonts w:cs="Arial"/>
          <w:lang w:val="en-US"/>
        </w:rPr>
        <w:t>We conducted our audit in accordance with Dutch law, including the Dutch Standards on Auditing</w:t>
      </w:r>
      <w:r w:rsidRPr="00BB1D7A">
        <w:rPr>
          <w:rFonts w:cs="Arial"/>
          <w:vertAlign w:val="superscript"/>
        </w:rPr>
        <w:footnoteReference w:id="7"/>
      </w:r>
      <w:r w:rsidRPr="00BB1D7A">
        <w:rPr>
          <w:rFonts w:cs="Arial"/>
          <w:lang w:val="en-US"/>
        </w:rPr>
        <w:t xml:space="preserve">. Our responsibilities under those standards are further described in the 'Our responsibilities for the audit of the financial statements' section of our report. </w:t>
      </w:r>
    </w:p>
    <w:p w14:paraId="003CB443" w14:textId="77777777" w:rsidR="00BB1D7A" w:rsidRPr="00BB1D7A" w:rsidRDefault="00BB1D7A" w:rsidP="00226811">
      <w:pPr>
        <w:rPr>
          <w:rFonts w:cs="Arial"/>
          <w:lang w:val="en-US"/>
        </w:rPr>
      </w:pPr>
    </w:p>
    <w:p w14:paraId="7E233C5F" w14:textId="215D25D5" w:rsidR="00B51A6C" w:rsidRDefault="00C37A69" w:rsidP="00226811">
      <w:pPr>
        <w:rPr>
          <w:rFonts w:cs="Arial"/>
          <w:lang w:val="en-US"/>
        </w:rPr>
      </w:pPr>
      <w:r w:rsidRPr="00BB1D7A">
        <w:rPr>
          <w:rFonts w:cs="Arial"/>
          <w:lang w:val="en-US"/>
        </w:rPr>
        <w:t xml:space="preserve">We are independent of ... (naam </w:t>
      </w:r>
      <w:proofErr w:type="spellStart"/>
      <w:r w:rsidRPr="00BB1D7A">
        <w:rPr>
          <w:rFonts w:cs="Arial"/>
          <w:lang w:val="en-US"/>
        </w:rPr>
        <w:t>entiteit</w:t>
      </w:r>
      <w:proofErr w:type="spellEnd"/>
      <w:r w:rsidRPr="00BB1D7A">
        <w:rPr>
          <w:rFonts w:cs="Arial"/>
          <w:lang w:val="en-US"/>
        </w:rPr>
        <w:t>(</w:t>
      </w:r>
      <w:proofErr w:type="spellStart"/>
      <w:r w:rsidRPr="00BB1D7A">
        <w:rPr>
          <w:rFonts w:cs="Arial"/>
          <w:lang w:val="en-US"/>
        </w:rPr>
        <w:t>en</w:t>
      </w:r>
      <w:proofErr w:type="spellEnd"/>
      <w:r w:rsidRPr="00BB1D7A">
        <w:rPr>
          <w:rFonts w:cs="Arial"/>
          <w:lang w:val="en-US"/>
        </w:rPr>
        <w:t xml:space="preserve">)) in accordance with the Wet </w:t>
      </w:r>
      <w:proofErr w:type="spellStart"/>
      <w:r w:rsidRPr="00BB1D7A">
        <w:rPr>
          <w:rFonts w:cs="Arial"/>
          <w:lang w:val="en-US"/>
        </w:rPr>
        <w:t>toezicht</w:t>
      </w:r>
      <w:proofErr w:type="spellEnd"/>
      <w:r w:rsidRPr="00BB1D7A">
        <w:rPr>
          <w:rFonts w:cs="Arial"/>
          <w:lang w:val="en-US"/>
        </w:rPr>
        <w:t xml:space="preserve"> </w:t>
      </w:r>
      <w:proofErr w:type="spellStart"/>
      <w:r w:rsidRPr="00BB1D7A">
        <w:rPr>
          <w:rFonts w:cs="Arial"/>
          <w:lang w:val="en-US"/>
        </w:rPr>
        <w:t>accountantsorganisaties</w:t>
      </w:r>
      <w:proofErr w:type="spellEnd"/>
      <w:r w:rsidRPr="00BB1D7A">
        <w:rPr>
          <w:rFonts w:cs="Arial"/>
          <w:lang w:val="en-US"/>
        </w:rPr>
        <w:t xml:space="preserve"> (</w:t>
      </w:r>
      <w:proofErr w:type="spellStart"/>
      <w:r w:rsidRPr="00BB1D7A">
        <w:rPr>
          <w:rFonts w:cs="Arial"/>
          <w:lang w:val="en-US"/>
        </w:rPr>
        <w:t>Wta</w:t>
      </w:r>
      <w:proofErr w:type="spellEnd"/>
      <w:r w:rsidRPr="00BB1D7A">
        <w:rPr>
          <w:rFonts w:cs="Arial"/>
          <w:lang w:val="en-US"/>
        </w:rPr>
        <w:t>, Audit firms supervision act),</w:t>
      </w:r>
      <w:r w:rsidRPr="00BB1D7A">
        <w:rPr>
          <w:rFonts w:cs="Arial"/>
          <w:vertAlign w:val="superscript"/>
        </w:rPr>
        <w:footnoteReference w:id="8"/>
      </w:r>
      <w:r w:rsidRPr="00BB1D7A">
        <w:rPr>
          <w:rFonts w:cs="Arial"/>
          <w:lang w:val="en-US"/>
        </w:rPr>
        <w:t xml:space="preserve"> the </w:t>
      </w:r>
      <w:proofErr w:type="spellStart"/>
      <w:r w:rsidRPr="00BB1D7A">
        <w:rPr>
          <w:rFonts w:cs="Arial"/>
          <w:lang w:val="en-US"/>
        </w:rPr>
        <w:t>Verordening</w:t>
      </w:r>
      <w:proofErr w:type="spellEnd"/>
      <w:r w:rsidRPr="00BB1D7A">
        <w:rPr>
          <w:rFonts w:cs="Arial"/>
          <w:lang w:val="en-US"/>
        </w:rPr>
        <w:t xml:space="preserve"> </w:t>
      </w:r>
      <w:proofErr w:type="spellStart"/>
      <w:r w:rsidRPr="00BB1D7A">
        <w:rPr>
          <w:rFonts w:cs="Arial"/>
          <w:lang w:val="en-US"/>
        </w:rPr>
        <w:t>inzake</w:t>
      </w:r>
      <w:proofErr w:type="spellEnd"/>
      <w:r w:rsidRPr="00BB1D7A">
        <w:rPr>
          <w:rFonts w:cs="Arial"/>
          <w:lang w:val="en-US"/>
        </w:rPr>
        <w:t xml:space="preserve"> de </w:t>
      </w:r>
      <w:proofErr w:type="spellStart"/>
      <w:r w:rsidRPr="00BB1D7A">
        <w:rPr>
          <w:rFonts w:cs="Arial"/>
          <w:lang w:val="en-US"/>
        </w:rPr>
        <w:t>onafhankelijkheid</w:t>
      </w:r>
      <w:proofErr w:type="spellEnd"/>
      <w:r w:rsidRPr="00BB1D7A">
        <w:rPr>
          <w:rFonts w:cs="Arial"/>
          <w:lang w:val="en-US"/>
        </w:rPr>
        <w:t xml:space="preserve"> van accountants </w:t>
      </w:r>
      <w:proofErr w:type="spellStart"/>
      <w:r w:rsidRPr="00BB1D7A">
        <w:rPr>
          <w:rFonts w:cs="Arial"/>
          <w:lang w:val="en-US"/>
        </w:rPr>
        <w:t>bij</w:t>
      </w:r>
      <w:proofErr w:type="spellEnd"/>
      <w:r w:rsidRPr="00BB1D7A">
        <w:rPr>
          <w:rFonts w:cs="Arial"/>
          <w:lang w:val="en-US"/>
        </w:rPr>
        <w:t xml:space="preserve"> assurance-</w:t>
      </w:r>
      <w:proofErr w:type="spellStart"/>
      <w:r w:rsidRPr="00BB1D7A">
        <w:rPr>
          <w:rFonts w:cs="Arial"/>
          <w:lang w:val="en-US"/>
        </w:rPr>
        <w:t>opdrachten</w:t>
      </w:r>
      <w:proofErr w:type="spellEnd"/>
      <w:r w:rsidRPr="00BB1D7A">
        <w:rPr>
          <w:rFonts w:cs="Arial"/>
          <w:lang w:val="en-US"/>
        </w:rPr>
        <w:t xml:space="preserve"> (</w:t>
      </w:r>
      <w:proofErr w:type="spellStart"/>
      <w:r w:rsidRPr="00BB1D7A">
        <w:rPr>
          <w:rFonts w:cs="Arial"/>
          <w:lang w:val="en-US"/>
        </w:rPr>
        <w:t>ViO</w:t>
      </w:r>
      <w:proofErr w:type="spellEnd"/>
      <w:r w:rsidRPr="00BB1D7A">
        <w:rPr>
          <w:rFonts w:cs="Arial"/>
          <w:lang w:val="en-US"/>
        </w:rPr>
        <w:t xml:space="preserve">, Code of Ethics for Professional Accountants, a regulation with respect to independence) and other relevant independence regulations in the Netherlands. Furthermore we have complied with the </w:t>
      </w:r>
      <w:proofErr w:type="spellStart"/>
      <w:r w:rsidRPr="00BB1D7A">
        <w:rPr>
          <w:rFonts w:cs="Arial"/>
          <w:lang w:val="en-US"/>
        </w:rPr>
        <w:t>Verordening</w:t>
      </w:r>
      <w:proofErr w:type="spellEnd"/>
      <w:r w:rsidRPr="00BB1D7A">
        <w:rPr>
          <w:rFonts w:cs="Arial"/>
          <w:lang w:val="en-US"/>
        </w:rPr>
        <w:t xml:space="preserve"> </w:t>
      </w:r>
      <w:proofErr w:type="spellStart"/>
      <w:r w:rsidRPr="00BB1D7A">
        <w:rPr>
          <w:rFonts w:cs="Arial"/>
          <w:lang w:val="en-US"/>
        </w:rPr>
        <w:t>gedrags</w:t>
      </w:r>
      <w:proofErr w:type="spellEnd"/>
      <w:r w:rsidRPr="00BB1D7A">
        <w:rPr>
          <w:rFonts w:cs="Arial"/>
          <w:lang w:val="en-US"/>
        </w:rPr>
        <w:t xml:space="preserve">- </w:t>
      </w:r>
      <w:proofErr w:type="spellStart"/>
      <w:r w:rsidRPr="00BB1D7A">
        <w:rPr>
          <w:rFonts w:cs="Arial"/>
          <w:lang w:val="en-US"/>
        </w:rPr>
        <w:t>en</w:t>
      </w:r>
      <w:proofErr w:type="spellEnd"/>
      <w:r w:rsidRPr="00BB1D7A">
        <w:rPr>
          <w:rFonts w:cs="Arial"/>
          <w:lang w:val="en-US"/>
        </w:rPr>
        <w:t xml:space="preserve"> </w:t>
      </w:r>
      <w:proofErr w:type="spellStart"/>
      <w:r w:rsidRPr="00BB1D7A">
        <w:rPr>
          <w:rFonts w:cs="Arial"/>
          <w:lang w:val="en-US"/>
        </w:rPr>
        <w:t>beroepsregels</w:t>
      </w:r>
      <w:proofErr w:type="spellEnd"/>
      <w:r w:rsidRPr="00BB1D7A">
        <w:rPr>
          <w:rFonts w:cs="Arial"/>
          <w:lang w:val="en-US"/>
        </w:rPr>
        <w:t xml:space="preserve"> accountants (VGBA, Dutch Code of Ethics). </w:t>
      </w:r>
    </w:p>
    <w:p w14:paraId="0D8114BA" w14:textId="77777777" w:rsidR="00BB1D7A" w:rsidRPr="00BB1D7A" w:rsidRDefault="00BB1D7A" w:rsidP="00226811">
      <w:pPr>
        <w:rPr>
          <w:rFonts w:cs="Arial"/>
          <w:lang w:val="en-US"/>
        </w:rPr>
      </w:pPr>
    </w:p>
    <w:p w14:paraId="28CFFB61" w14:textId="578AD302" w:rsidR="00B51A6C" w:rsidRPr="00BB1D7A" w:rsidRDefault="00C37A69" w:rsidP="00226811">
      <w:pPr>
        <w:rPr>
          <w:rFonts w:cs="Arial"/>
          <w:lang w:val="en-US"/>
        </w:rPr>
      </w:pPr>
      <w:r w:rsidRPr="00BB1D7A">
        <w:rPr>
          <w:rFonts w:cs="Arial"/>
          <w:lang w:val="en-US"/>
        </w:rPr>
        <w:t xml:space="preserve">We believe the audit evidence we have obtained is sufficient and appropriate to provide a basis for our opinion. </w:t>
      </w:r>
    </w:p>
    <w:p w14:paraId="03CDCBC5" w14:textId="77777777" w:rsidR="008F4127" w:rsidRPr="00BB1D7A" w:rsidRDefault="008F4127" w:rsidP="00226811">
      <w:pPr>
        <w:rPr>
          <w:rFonts w:cs="Arial"/>
          <w:lang w:val="en-US"/>
        </w:rPr>
      </w:pPr>
    </w:p>
    <w:p w14:paraId="4DEB7D3F" w14:textId="77777777" w:rsidR="00B51A6C" w:rsidRPr="00694106" w:rsidRDefault="00C37A69" w:rsidP="00226811">
      <w:pPr>
        <w:rPr>
          <w:rFonts w:cs="Arial"/>
          <w:caps/>
          <w:lang w:val="en-US"/>
        </w:rPr>
      </w:pPr>
      <w:r w:rsidRPr="00694106">
        <w:rPr>
          <w:rFonts w:cs="Arial"/>
          <w:b/>
          <w:caps/>
          <w:lang w:val="en-US"/>
        </w:rPr>
        <w:t>Information in support of our opinion</w:t>
      </w:r>
      <w:r w:rsidRPr="00694106">
        <w:rPr>
          <w:rFonts w:cs="Arial"/>
          <w:b/>
          <w:caps/>
          <w:vertAlign w:val="superscript"/>
        </w:rPr>
        <w:footnoteReference w:id="9"/>
      </w:r>
      <w:r w:rsidRPr="00694106">
        <w:rPr>
          <w:rFonts w:cs="Arial"/>
          <w:b/>
          <w:caps/>
          <w:lang w:val="en-US"/>
        </w:rPr>
        <w:t xml:space="preserve"> </w:t>
      </w:r>
    </w:p>
    <w:p w14:paraId="5A57623E" w14:textId="77777777" w:rsidR="00B24FA1" w:rsidRPr="00BB1D7A" w:rsidRDefault="00B24FA1" w:rsidP="00226811">
      <w:pPr>
        <w:rPr>
          <w:rFonts w:cs="Arial"/>
          <w:lang w:val="en-US"/>
        </w:rPr>
      </w:pPr>
    </w:p>
    <w:p w14:paraId="5E30BEE3" w14:textId="0D7FC857" w:rsidR="00B51A6C" w:rsidRPr="00BB1D7A" w:rsidRDefault="008F4127" w:rsidP="00226811">
      <w:pPr>
        <w:rPr>
          <w:rFonts w:cs="Arial"/>
          <w:lang w:val="en-US"/>
        </w:rPr>
      </w:pPr>
      <w:r w:rsidRPr="00BB1D7A">
        <w:rPr>
          <w:rFonts w:cs="Arial"/>
          <w:lang w:val="en-US"/>
        </w:rPr>
        <w:t>We designed our audit procedures in the context of our audit of the financial statements as a whole and in forming our opinion thereon. The following information in support of our opinion was addressed in this context, and we do not provide a separate opinion or conclusion on these matters.</w:t>
      </w:r>
      <w:r w:rsidR="00C37A69" w:rsidRPr="00BB1D7A">
        <w:rPr>
          <w:rFonts w:cs="Arial"/>
          <w:lang w:val="en-US"/>
        </w:rPr>
        <w:t xml:space="preserve"> </w:t>
      </w:r>
    </w:p>
    <w:p w14:paraId="0C311968" w14:textId="77777777" w:rsidR="002E47F7" w:rsidRPr="00BB1D7A" w:rsidRDefault="002E47F7" w:rsidP="00226811">
      <w:pPr>
        <w:rPr>
          <w:rFonts w:cs="Arial"/>
          <w:lang w:val="en-US"/>
        </w:rPr>
      </w:pPr>
    </w:p>
    <w:p w14:paraId="0F1804FA" w14:textId="77777777" w:rsidR="00B51A6C" w:rsidRPr="00BB1D7A" w:rsidRDefault="00C37A69" w:rsidP="00226811">
      <w:pPr>
        <w:rPr>
          <w:rFonts w:cs="Arial"/>
        </w:rPr>
      </w:pPr>
      <w:r w:rsidRPr="00BB1D7A">
        <w:rPr>
          <w:rFonts w:cs="Arial"/>
          <w:b/>
        </w:rPr>
        <w:t xml:space="preserve">Audit approach </w:t>
      </w:r>
      <w:proofErr w:type="spellStart"/>
      <w:r w:rsidRPr="00BB1D7A">
        <w:rPr>
          <w:rFonts w:cs="Arial"/>
          <w:b/>
        </w:rPr>
        <w:t>fraud</w:t>
      </w:r>
      <w:proofErr w:type="spellEnd"/>
      <w:r w:rsidRPr="00BB1D7A">
        <w:rPr>
          <w:rFonts w:cs="Arial"/>
          <w:b/>
        </w:rPr>
        <w:t xml:space="preserve"> </w:t>
      </w:r>
      <w:proofErr w:type="spellStart"/>
      <w:r w:rsidRPr="00BB1D7A">
        <w:rPr>
          <w:rFonts w:cs="Arial"/>
          <w:b/>
        </w:rPr>
        <w:t>risks</w:t>
      </w:r>
      <w:proofErr w:type="spellEnd"/>
      <w:r w:rsidRPr="00BB1D7A">
        <w:rPr>
          <w:rFonts w:cs="Arial"/>
          <w:b/>
          <w:vertAlign w:val="superscript"/>
        </w:rPr>
        <w:footnoteReference w:id="10"/>
      </w:r>
    </w:p>
    <w:p w14:paraId="7F42BC71" w14:textId="6CC7EDAB" w:rsidR="00B51A6C" w:rsidRPr="00BB1D7A" w:rsidRDefault="00C37A69" w:rsidP="00226811">
      <w:pPr>
        <w:rPr>
          <w:rFonts w:cs="Arial"/>
        </w:rPr>
      </w:pPr>
      <w:r w:rsidRPr="00BB1D7A">
        <w:rPr>
          <w:rFonts w:cs="Arial"/>
          <w:i/>
        </w:rPr>
        <w:t>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w:t>
      </w:r>
      <w:r w:rsidRPr="00BB1D7A">
        <w:rPr>
          <w:rFonts w:cs="Arial"/>
          <w:i/>
        </w:rPr>
        <w:cr/>
      </w:r>
      <w:r w:rsidRPr="00BB1D7A">
        <w:rPr>
          <w:rFonts w:cs="Arial"/>
          <w:i/>
        </w:rPr>
        <w:cr/>
        <w:t>In overeenstemming met paragraaf 29B van Standaard 700 kan de accountant het volgende omschrijven:</w:t>
      </w:r>
      <w:r w:rsidR="00226811">
        <w:rPr>
          <w:rFonts w:cs="Arial"/>
        </w:rPr>
        <w:t xml:space="preserve"> </w:t>
      </w:r>
    </w:p>
    <w:p w14:paraId="3E443988" w14:textId="6CC07629" w:rsidR="00B51A6C" w:rsidRPr="00BB1D7A" w:rsidRDefault="00C37A69" w:rsidP="00226811">
      <w:pPr>
        <w:numPr>
          <w:ilvl w:val="0"/>
          <w:numId w:val="10"/>
        </w:numPr>
        <w:rPr>
          <w:rFonts w:cs="Arial"/>
        </w:rPr>
      </w:pPr>
      <w:r w:rsidRPr="00BB1D7A">
        <w:rPr>
          <w:rFonts w:cs="Arial"/>
          <w:i/>
        </w:rPr>
        <w:t>de frauderisico’s die aandacht vereisten bij de controle;</w:t>
      </w:r>
    </w:p>
    <w:p w14:paraId="5A5FE142" w14:textId="74072FC2" w:rsidR="00B51A6C" w:rsidRPr="00BB1D7A" w:rsidRDefault="00C37A69" w:rsidP="00226811">
      <w:pPr>
        <w:numPr>
          <w:ilvl w:val="0"/>
          <w:numId w:val="10"/>
        </w:numPr>
        <w:rPr>
          <w:rFonts w:cs="Arial"/>
        </w:rPr>
      </w:pPr>
      <w:r w:rsidRPr="00BB1D7A">
        <w:rPr>
          <w:rFonts w:cs="Arial"/>
          <w:i/>
        </w:rPr>
        <w:t>een verwijzing naar eventuele toelichtingen in de financiële overzichten;</w:t>
      </w:r>
      <w:r w:rsidRPr="00BB1D7A">
        <w:rPr>
          <w:rFonts w:cs="Arial"/>
          <w:vertAlign w:val="superscript"/>
        </w:rPr>
        <w:footnoteReference w:id="11"/>
      </w:r>
    </w:p>
    <w:p w14:paraId="2B518C6D" w14:textId="52C00D2D" w:rsidR="00B51A6C" w:rsidRPr="00BB1D7A" w:rsidRDefault="00C37A69" w:rsidP="00226811">
      <w:pPr>
        <w:numPr>
          <w:ilvl w:val="0"/>
          <w:numId w:val="10"/>
        </w:numPr>
        <w:rPr>
          <w:rFonts w:cs="Arial"/>
        </w:rPr>
      </w:pPr>
      <w:r w:rsidRPr="00BB1D7A">
        <w:rPr>
          <w:rFonts w:cs="Arial"/>
          <w:i/>
        </w:rPr>
        <w:t>een kort overzicht van de uitgevoerde werkzaamheden;</w:t>
      </w:r>
      <w:r w:rsidRPr="00BB1D7A">
        <w:rPr>
          <w:rFonts w:cs="Arial"/>
        </w:rPr>
        <w:t xml:space="preserve"> </w:t>
      </w:r>
    </w:p>
    <w:p w14:paraId="7284F734" w14:textId="358D54BB" w:rsidR="00B51A6C" w:rsidRPr="00BB1D7A" w:rsidRDefault="00C37A69" w:rsidP="00226811">
      <w:pPr>
        <w:numPr>
          <w:ilvl w:val="0"/>
          <w:numId w:val="10"/>
        </w:numPr>
        <w:rPr>
          <w:rFonts w:cs="Arial"/>
        </w:rPr>
      </w:pPr>
      <w:r w:rsidRPr="00BB1D7A">
        <w:rPr>
          <w:rFonts w:cs="Arial"/>
          <w:i/>
        </w:rPr>
        <w:t>een indicatie van de uitkomst van de werkzaamheden van de accountant;</w:t>
      </w:r>
      <w:r w:rsidRPr="00BB1D7A">
        <w:rPr>
          <w:rFonts w:cs="Arial"/>
        </w:rPr>
        <w:t xml:space="preserve"> </w:t>
      </w:r>
    </w:p>
    <w:p w14:paraId="720C7C46" w14:textId="15751E82" w:rsidR="00B51A6C" w:rsidRPr="00BB1D7A" w:rsidRDefault="00C37A69" w:rsidP="00226811">
      <w:pPr>
        <w:numPr>
          <w:ilvl w:val="0"/>
          <w:numId w:val="10"/>
        </w:numPr>
        <w:rPr>
          <w:rFonts w:cs="Arial"/>
        </w:rPr>
      </w:pPr>
      <w:r w:rsidRPr="00BB1D7A">
        <w:rPr>
          <w:rFonts w:cs="Arial"/>
          <w:i/>
        </w:rPr>
        <w:t>belangrijke waarnemingen met betrekking tot de aangelegenheid.</w:t>
      </w:r>
      <w:r w:rsidRPr="00BB1D7A">
        <w:rPr>
          <w:rFonts w:cs="Arial"/>
        </w:rPr>
        <w:t xml:space="preserve"> </w:t>
      </w:r>
    </w:p>
    <w:p w14:paraId="0C03A6F7" w14:textId="77777777" w:rsidR="002E47F7" w:rsidRPr="00BB1D7A" w:rsidRDefault="002E47F7" w:rsidP="00226811">
      <w:pPr>
        <w:rPr>
          <w:rFonts w:cs="Arial"/>
          <w:i/>
        </w:rPr>
      </w:pPr>
    </w:p>
    <w:p w14:paraId="64088955" w14:textId="2CC6602D" w:rsidR="00B51A6C" w:rsidRPr="00BB1D7A" w:rsidRDefault="00C37A69" w:rsidP="00226811">
      <w:pPr>
        <w:rPr>
          <w:rFonts w:cs="Arial"/>
        </w:rPr>
      </w:pPr>
      <w:r w:rsidRPr="00BB1D7A">
        <w:rPr>
          <w:rFonts w:cs="Arial"/>
          <w:i/>
        </w:rPr>
        <w:t>Of een combinatie van deze elementen.</w:t>
      </w:r>
      <w:r w:rsidRPr="00BB1D7A">
        <w:rPr>
          <w:rFonts w:cs="Arial"/>
          <w:vertAlign w:val="superscript"/>
        </w:rPr>
        <w:footnoteReference w:id="12"/>
      </w:r>
      <w:r w:rsidRPr="00BB1D7A">
        <w:rPr>
          <w:rFonts w:cs="Arial"/>
        </w:rPr>
        <w:t xml:space="preserve"> </w:t>
      </w:r>
    </w:p>
    <w:p w14:paraId="5ADB8FD8" w14:textId="77777777" w:rsidR="002E47F7" w:rsidRPr="00BB1D7A" w:rsidRDefault="002E47F7" w:rsidP="00226811">
      <w:pPr>
        <w:rPr>
          <w:rFonts w:cs="Arial"/>
        </w:rPr>
      </w:pPr>
    </w:p>
    <w:p w14:paraId="36895E1E" w14:textId="77777777" w:rsidR="00B51A6C" w:rsidRPr="00BB1D7A" w:rsidRDefault="00C37A69" w:rsidP="00226811">
      <w:pPr>
        <w:rPr>
          <w:rFonts w:cs="Arial"/>
        </w:rPr>
      </w:pPr>
      <w:r w:rsidRPr="00BB1D7A">
        <w:rPr>
          <w:rFonts w:cs="Arial"/>
          <w:b/>
        </w:rPr>
        <w:t xml:space="preserve">Audit approach </w:t>
      </w:r>
      <w:proofErr w:type="spellStart"/>
      <w:r w:rsidRPr="00BB1D7A">
        <w:rPr>
          <w:rFonts w:cs="Arial"/>
          <w:b/>
        </w:rPr>
        <w:t>going</w:t>
      </w:r>
      <w:proofErr w:type="spellEnd"/>
      <w:r w:rsidRPr="00BB1D7A">
        <w:rPr>
          <w:rFonts w:cs="Arial"/>
          <w:b/>
        </w:rPr>
        <w:t xml:space="preserve"> concern</w:t>
      </w:r>
      <w:r w:rsidRPr="00BB1D7A">
        <w:rPr>
          <w:rFonts w:cs="Arial"/>
          <w:b/>
          <w:vertAlign w:val="superscript"/>
        </w:rPr>
        <w:footnoteReference w:id="13"/>
      </w:r>
    </w:p>
    <w:p w14:paraId="5F79A4D8" w14:textId="25175A67" w:rsidR="00B51A6C" w:rsidRPr="00BB1D7A" w:rsidRDefault="00C37A69" w:rsidP="00226811">
      <w:pPr>
        <w:rPr>
          <w:rFonts w:cs="Arial"/>
        </w:rPr>
      </w:pPr>
      <w:r w:rsidRPr="00BB1D7A">
        <w:rPr>
          <w:rFonts w:cs="Arial"/>
          <w:i/>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w:t>
      </w:r>
      <w:r w:rsidRPr="00BB1D7A">
        <w:rPr>
          <w:rFonts w:cs="Arial"/>
          <w:i/>
        </w:rPr>
        <w:lastRenderedPageBreak/>
        <w:t>controle. In overeenstemming met paragraaf 29A van Standaard 700 kan de accountant het volgende omschrijven:</w:t>
      </w:r>
      <w:r w:rsidRPr="00BB1D7A">
        <w:rPr>
          <w:rFonts w:cs="Arial"/>
        </w:rPr>
        <w:t xml:space="preserve"> </w:t>
      </w:r>
    </w:p>
    <w:p w14:paraId="58B5CCAE" w14:textId="65A004C4" w:rsidR="00B51A6C" w:rsidRPr="00BB1D7A" w:rsidRDefault="00C37A69" w:rsidP="00226811">
      <w:pPr>
        <w:numPr>
          <w:ilvl w:val="0"/>
          <w:numId w:val="10"/>
        </w:numPr>
        <w:rPr>
          <w:rFonts w:cs="Arial"/>
          <w:i/>
        </w:rPr>
      </w:pPr>
      <w:r w:rsidRPr="00BB1D7A">
        <w:rPr>
          <w:rFonts w:cs="Arial"/>
          <w:i/>
        </w:rPr>
        <w:t xml:space="preserve">de aangelegenheden die aandacht vereisten bij de controle; </w:t>
      </w:r>
    </w:p>
    <w:p w14:paraId="517A23B9" w14:textId="560DAC83" w:rsidR="00B51A6C" w:rsidRPr="00BB1D7A" w:rsidRDefault="00C37A69" w:rsidP="00226811">
      <w:pPr>
        <w:numPr>
          <w:ilvl w:val="0"/>
          <w:numId w:val="10"/>
        </w:numPr>
        <w:rPr>
          <w:rFonts w:cs="Arial"/>
          <w:i/>
        </w:rPr>
      </w:pPr>
      <w:r w:rsidRPr="00BB1D7A">
        <w:rPr>
          <w:rFonts w:cs="Arial"/>
          <w:i/>
        </w:rPr>
        <w:t xml:space="preserve">een verwijzing naar eventuele toelichtingen in de financiële overzichten; </w:t>
      </w:r>
    </w:p>
    <w:p w14:paraId="55B95B5A" w14:textId="243C62D7" w:rsidR="00B51A6C" w:rsidRPr="00BB1D7A" w:rsidRDefault="00C37A69" w:rsidP="00226811">
      <w:pPr>
        <w:numPr>
          <w:ilvl w:val="0"/>
          <w:numId w:val="10"/>
        </w:numPr>
        <w:rPr>
          <w:rFonts w:cs="Arial"/>
          <w:i/>
        </w:rPr>
      </w:pPr>
      <w:r w:rsidRPr="00BB1D7A">
        <w:rPr>
          <w:rFonts w:cs="Arial"/>
          <w:i/>
        </w:rPr>
        <w:t xml:space="preserve">een kort overzicht van de uitgevoerde werkzaamheden; </w:t>
      </w:r>
    </w:p>
    <w:p w14:paraId="42F28228" w14:textId="46E3B19D" w:rsidR="00B51A6C" w:rsidRPr="00BB1D7A" w:rsidRDefault="00C37A69" w:rsidP="00226811">
      <w:pPr>
        <w:numPr>
          <w:ilvl w:val="0"/>
          <w:numId w:val="10"/>
        </w:numPr>
        <w:rPr>
          <w:rFonts w:cs="Arial"/>
          <w:i/>
        </w:rPr>
      </w:pPr>
      <w:r w:rsidRPr="00BB1D7A">
        <w:rPr>
          <w:rFonts w:cs="Arial"/>
          <w:i/>
        </w:rPr>
        <w:t xml:space="preserve">een indicatie van de uitkomst van de werkzaamheden van de accountant; </w:t>
      </w:r>
    </w:p>
    <w:p w14:paraId="6C781909" w14:textId="2E54C4D8" w:rsidR="00B51A6C" w:rsidRPr="00BB1D7A" w:rsidRDefault="00C37A69" w:rsidP="00226811">
      <w:pPr>
        <w:numPr>
          <w:ilvl w:val="0"/>
          <w:numId w:val="10"/>
        </w:numPr>
        <w:rPr>
          <w:rFonts w:cs="Arial"/>
        </w:rPr>
      </w:pPr>
      <w:r w:rsidRPr="00BB1D7A">
        <w:rPr>
          <w:rFonts w:cs="Arial"/>
          <w:i/>
        </w:rPr>
        <w:t>belangrijke waarnemingen met betrekking tot de aangelegenheid.</w:t>
      </w:r>
      <w:r w:rsidRPr="00BB1D7A">
        <w:rPr>
          <w:rFonts w:cs="Arial"/>
        </w:rPr>
        <w:t xml:space="preserve"> </w:t>
      </w:r>
    </w:p>
    <w:p w14:paraId="56656CAC" w14:textId="3C9D3E8C" w:rsidR="00B51A6C" w:rsidRPr="00BB1D7A" w:rsidRDefault="00C37A69" w:rsidP="00226811">
      <w:pPr>
        <w:rPr>
          <w:rFonts w:cs="Arial"/>
        </w:rPr>
      </w:pPr>
      <w:r w:rsidRPr="00BB1D7A">
        <w:rPr>
          <w:rFonts w:cs="Arial"/>
        </w:rPr>
        <w:cr/>
      </w:r>
      <w:r w:rsidRPr="00BB1D7A">
        <w:rPr>
          <w:rFonts w:cs="Arial"/>
          <w:i/>
        </w:rPr>
        <w:t>Of een combinatie van deze elementen.</w:t>
      </w:r>
      <w:r w:rsidRPr="00BB1D7A">
        <w:rPr>
          <w:rFonts w:cs="Arial"/>
          <w:vertAlign w:val="superscript"/>
        </w:rPr>
        <w:footnoteReference w:id="14"/>
      </w:r>
      <w:r w:rsidRPr="00BB1D7A">
        <w:rPr>
          <w:rFonts w:cs="Arial"/>
        </w:rPr>
        <w:t xml:space="preserve"> </w:t>
      </w:r>
    </w:p>
    <w:p w14:paraId="35CA2B6A" w14:textId="77777777" w:rsidR="00B62B66" w:rsidRPr="00BB1D7A" w:rsidRDefault="00B62B66" w:rsidP="00226811">
      <w:pPr>
        <w:rPr>
          <w:rFonts w:cs="Arial"/>
        </w:rPr>
      </w:pPr>
    </w:p>
    <w:p w14:paraId="0C06ECD0" w14:textId="77777777" w:rsidR="00B51A6C" w:rsidRPr="00694106" w:rsidRDefault="00C37A69" w:rsidP="00226811">
      <w:pPr>
        <w:rPr>
          <w:rFonts w:cs="Arial"/>
          <w:caps/>
          <w:lang w:val="en-US"/>
        </w:rPr>
      </w:pPr>
      <w:r w:rsidRPr="00694106">
        <w:rPr>
          <w:rFonts w:cs="Arial"/>
          <w:b/>
          <w:caps/>
          <w:lang w:val="en-US"/>
        </w:rPr>
        <w:t>Report on the other information included in the annual report</w:t>
      </w:r>
      <w:r w:rsidRPr="00694106">
        <w:rPr>
          <w:rFonts w:cs="Arial"/>
          <w:b/>
          <w:caps/>
          <w:vertAlign w:val="superscript"/>
        </w:rPr>
        <w:footnoteReference w:id="15"/>
      </w:r>
      <w:r w:rsidRPr="00694106">
        <w:rPr>
          <w:rFonts w:cs="Arial"/>
          <w:b/>
          <w:caps/>
          <w:lang w:val="en-US"/>
        </w:rPr>
        <w:t xml:space="preserve"> </w:t>
      </w:r>
    </w:p>
    <w:p w14:paraId="46FF2445" w14:textId="77777777" w:rsidR="00B62B66" w:rsidRPr="00BB1D7A" w:rsidRDefault="00B62B66" w:rsidP="00226811">
      <w:pPr>
        <w:rPr>
          <w:rFonts w:cs="Arial"/>
          <w:lang w:val="en-US"/>
        </w:rPr>
      </w:pPr>
    </w:p>
    <w:p w14:paraId="00B79160" w14:textId="27F04120" w:rsidR="00B51A6C" w:rsidRPr="00BB1D7A" w:rsidRDefault="00C37A69" w:rsidP="00226811">
      <w:pPr>
        <w:rPr>
          <w:rFonts w:cs="Arial"/>
          <w:lang w:val="en-US"/>
        </w:rPr>
      </w:pPr>
      <w:r w:rsidRPr="00BB1D7A">
        <w:rPr>
          <w:rFonts w:cs="Arial"/>
          <w:lang w:val="en-US"/>
        </w:rPr>
        <w:t>The annual report contains other information, in addition to the financial statements and our auditor's report thereon.</w:t>
      </w:r>
      <w:r w:rsidRPr="00BB1D7A">
        <w:rPr>
          <w:rFonts w:cs="Arial"/>
          <w:vertAlign w:val="superscript"/>
        </w:rPr>
        <w:footnoteReference w:id="16"/>
      </w:r>
      <w:r w:rsidRPr="00BB1D7A">
        <w:rPr>
          <w:rFonts w:cs="Arial"/>
          <w:lang w:val="en-US"/>
        </w:rPr>
        <w:t xml:space="preserve"> </w:t>
      </w:r>
    </w:p>
    <w:p w14:paraId="1D50D0FD" w14:textId="77777777" w:rsidR="00B51A6C" w:rsidRPr="00BB1D7A" w:rsidRDefault="00B51A6C" w:rsidP="00226811">
      <w:pPr>
        <w:rPr>
          <w:rFonts w:cs="Arial"/>
          <w:lang w:val="en-US"/>
        </w:rPr>
      </w:pPr>
    </w:p>
    <w:p w14:paraId="4C626A8D" w14:textId="26D9CB09" w:rsidR="0045529B" w:rsidRDefault="00C37A69" w:rsidP="0045529B">
      <w:pPr>
        <w:rPr>
          <w:rFonts w:cs="Arial"/>
          <w:lang w:val="en-US"/>
        </w:rPr>
      </w:pPr>
      <w:r w:rsidRPr="00BB1D7A">
        <w:rPr>
          <w:rFonts w:cs="Arial"/>
          <w:lang w:val="en-US"/>
        </w:rPr>
        <w:t>Based on the following procedures performed, we conclude that the other information:</w:t>
      </w:r>
    </w:p>
    <w:p w14:paraId="62ACB423" w14:textId="5CEB5D2D" w:rsidR="00B51A6C" w:rsidRPr="0045529B" w:rsidRDefault="00C37A69" w:rsidP="0045529B">
      <w:pPr>
        <w:numPr>
          <w:ilvl w:val="0"/>
          <w:numId w:val="10"/>
        </w:numPr>
        <w:rPr>
          <w:rFonts w:cs="Arial"/>
          <w:iCs/>
          <w:lang w:val="en-US"/>
        </w:rPr>
      </w:pPr>
      <w:r w:rsidRPr="0045529B">
        <w:rPr>
          <w:rFonts w:cs="Arial"/>
          <w:iCs/>
          <w:lang w:val="en-US"/>
        </w:rPr>
        <w:t xml:space="preserve">is consistent with the financial statements and does not contain material misstatements; </w:t>
      </w:r>
    </w:p>
    <w:p w14:paraId="16879D73" w14:textId="6E0FF9A5" w:rsidR="00B51A6C" w:rsidRPr="0045529B" w:rsidRDefault="00C37A69" w:rsidP="00226811">
      <w:pPr>
        <w:numPr>
          <w:ilvl w:val="0"/>
          <w:numId w:val="10"/>
        </w:numPr>
        <w:rPr>
          <w:rFonts w:cs="Arial"/>
          <w:iCs/>
          <w:lang w:val="en-US"/>
        </w:rPr>
      </w:pPr>
      <w:r w:rsidRPr="0045529B">
        <w:rPr>
          <w:rFonts w:cs="Arial"/>
          <w:iCs/>
          <w:lang w:val="en-US"/>
        </w:rPr>
        <w:t>contains all the information regarding the management report and the other information as required by Part 9 of Book 2 of the Dutch Civil Code.</w:t>
      </w:r>
    </w:p>
    <w:p w14:paraId="6BB00C7B" w14:textId="77777777" w:rsidR="00B51A6C" w:rsidRPr="00BB1D7A" w:rsidRDefault="00B51A6C" w:rsidP="00226811">
      <w:pPr>
        <w:ind w:left="360" w:hanging="360"/>
        <w:rPr>
          <w:rFonts w:cs="Arial"/>
          <w:lang w:val="en-US"/>
        </w:rPr>
      </w:pPr>
    </w:p>
    <w:p w14:paraId="5BDBC45E" w14:textId="77777777" w:rsidR="00B51A6C" w:rsidRPr="00BB1D7A" w:rsidRDefault="00C37A69" w:rsidP="00226811">
      <w:pPr>
        <w:rPr>
          <w:rFonts w:cs="Arial"/>
          <w:lang w:val="en-US"/>
        </w:rPr>
      </w:pPr>
      <w:r w:rsidRPr="00BB1D7A">
        <w:rPr>
          <w:rFonts w:cs="Arial"/>
          <w:lang w:val="en-US"/>
        </w:rPr>
        <w:t xml:space="preserve">We have read the other information. Based on our knowledge and understanding obtained through our audit of the financial statements or otherwise, we have considered whether the other information contains material misstatements. </w:t>
      </w:r>
    </w:p>
    <w:p w14:paraId="19092364" w14:textId="77777777" w:rsidR="00B51A6C" w:rsidRPr="00BB1D7A" w:rsidRDefault="00B51A6C" w:rsidP="00226811">
      <w:pPr>
        <w:rPr>
          <w:rFonts w:cs="Arial"/>
          <w:lang w:val="en-US"/>
        </w:rPr>
      </w:pPr>
    </w:p>
    <w:p w14:paraId="0E9F739F" w14:textId="77777777" w:rsidR="00B51A6C" w:rsidRPr="00BB1D7A" w:rsidRDefault="00C37A69" w:rsidP="00226811">
      <w:pPr>
        <w:rPr>
          <w:rFonts w:cs="Arial"/>
          <w:lang w:val="en-US"/>
        </w:rPr>
      </w:pPr>
      <w:r w:rsidRPr="00BB1D7A">
        <w:rPr>
          <w:rFonts w:cs="Arial"/>
          <w:lang w:val="en-US"/>
        </w:rPr>
        <w:t xml:space="preserve">By performing these procedures, we comply with the requirements of Part 9 of Book 2 of the Dutch Civil Code and the Dutch Standard 720. The scope of the procedures performed is substantially less than the scope of those performed in our audit of the financial statements. </w:t>
      </w:r>
    </w:p>
    <w:p w14:paraId="16234865" w14:textId="77777777" w:rsidR="00B51A6C" w:rsidRPr="00BB1D7A" w:rsidRDefault="00B51A6C" w:rsidP="00226811">
      <w:pPr>
        <w:rPr>
          <w:rFonts w:cs="Arial"/>
          <w:lang w:val="en-US"/>
        </w:rPr>
      </w:pPr>
    </w:p>
    <w:p w14:paraId="629D15EB" w14:textId="1ECEF87C" w:rsidR="00B51A6C" w:rsidRPr="00BB1D7A" w:rsidRDefault="00C37A69" w:rsidP="00226811">
      <w:pPr>
        <w:rPr>
          <w:rFonts w:cs="Arial"/>
          <w:lang w:val="en-US"/>
        </w:rPr>
      </w:pPr>
      <w:r w:rsidRPr="00BB1D7A">
        <w:rPr>
          <w:rFonts w:cs="Arial"/>
          <w:lang w:val="en-US"/>
        </w:rPr>
        <w:t>Management is responsible for the preparation of the management report in accordance with Part 9 of Book 2 of the Dutch Civil Code and other information as required by Part 9 of Book 2 of the Dutch Civil Code.</w:t>
      </w:r>
      <w:r w:rsidRPr="00BB1D7A">
        <w:rPr>
          <w:rFonts w:cs="Arial"/>
          <w:vertAlign w:val="superscript"/>
        </w:rPr>
        <w:footnoteReference w:id="17"/>
      </w:r>
      <w:r w:rsidRPr="00BB1D7A">
        <w:rPr>
          <w:rFonts w:cs="Arial"/>
          <w:lang w:val="en-US"/>
        </w:rPr>
        <w:t xml:space="preserve"> </w:t>
      </w:r>
    </w:p>
    <w:p w14:paraId="051F60FA" w14:textId="77777777" w:rsidR="00080DA4" w:rsidRPr="00BB1D7A" w:rsidRDefault="00080DA4" w:rsidP="00226811">
      <w:pPr>
        <w:rPr>
          <w:rFonts w:cs="Arial"/>
          <w:lang w:val="en-US"/>
        </w:rPr>
      </w:pPr>
    </w:p>
    <w:p w14:paraId="3F5EC04C" w14:textId="77777777" w:rsidR="00B51A6C" w:rsidRPr="00694106" w:rsidRDefault="00C37A69" w:rsidP="0045529B">
      <w:pPr>
        <w:keepNext/>
        <w:rPr>
          <w:rFonts w:cs="Arial"/>
          <w:caps/>
          <w:lang w:val="en-US"/>
        </w:rPr>
      </w:pPr>
      <w:r w:rsidRPr="00694106">
        <w:rPr>
          <w:rFonts w:cs="Arial"/>
          <w:b/>
          <w:caps/>
          <w:lang w:val="en-US"/>
        </w:rPr>
        <w:lastRenderedPageBreak/>
        <w:t xml:space="preserve">Description of responsibilities regarding the financial statements </w:t>
      </w:r>
    </w:p>
    <w:p w14:paraId="3D5ABF6E" w14:textId="77777777" w:rsidR="00080DA4" w:rsidRPr="00BB1D7A" w:rsidRDefault="00080DA4" w:rsidP="0045529B">
      <w:pPr>
        <w:keepNext/>
        <w:rPr>
          <w:rFonts w:cs="Arial"/>
          <w:lang w:val="en-US"/>
        </w:rPr>
      </w:pPr>
    </w:p>
    <w:p w14:paraId="3103FAFA" w14:textId="77777777" w:rsidR="00B51A6C" w:rsidRPr="00BB1D7A" w:rsidRDefault="00C37A69" w:rsidP="0045529B">
      <w:pPr>
        <w:keepNext/>
        <w:rPr>
          <w:rFonts w:cs="Arial"/>
          <w:lang w:val="en-US"/>
        </w:rPr>
      </w:pPr>
      <w:r w:rsidRPr="00BB1D7A">
        <w:rPr>
          <w:rFonts w:cs="Arial"/>
          <w:b/>
          <w:lang w:val="en-US"/>
        </w:rPr>
        <w:t>Responsibilities of management for the financial statements</w:t>
      </w:r>
    </w:p>
    <w:p w14:paraId="00C01AB9" w14:textId="77777777" w:rsidR="00B51A6C" w:rsidRPr="00BB1D7A" w:rsidRDefault="00C37A69" w:rsidP="0045529B">
      <w:pPr>
        <w:keepNext/>
        <w:rPr>
          <w:rFonts w:cs="Arial"/>
          <w:lang w:val="en-US"/>
        </w:rPr>
      </w:pPr>
      <w:r w:rsidRPr="00BB1D7A">
        <w:rPr>
          <w:rFonts w:cs="Arial"/>
          <w:lang w:val="en-US"/>
        </w:rPr>
        <w:t>Management</w:t>
      </w:r>
      <w:r w:rsidRPr="00BB1D7A">
        <w:rPr>
          <w:rFonts w:cs="Arial"/>
          <w:vertAlign w:val="superscript"/>
        </w:rPr>
        <w:footnoteReference w:id="18"/>
      </w:r>
      <w:r w:rsidRPr="00BB1D7A">
        <w:rPr>
          <w:rFonts w:cs="Arial"/>
          <w:lang w:val="en-US"/>
        </w:rPr>
        <w:t xml:space="preserve"> is responsible for the preparation and fair presentation of the financial statements in accordance with Part 9 of Book 2 of the Dutch Civil Code</w:t>
      </w:r>
      <w:r w:rsidRPr="00BB1D7A">
        <w:rPr>
          <w:rFonts w:cs="Arial"/>
          <w:vertAlign w:val="superscript"/>
        </w:rPr>
        <w:footnoteReference w:id="19"/>
      </w:r>
      <w:r w:rsidRPr="00BB1D7A">
        <w:rPr>
          <w:rFonts w:cs="Arial"/>
          <w:lang w:val="en-US"/>
        </w:rPr>
        <w:t xml:space="preserve">. Furthermore, management is responsible for such internal control as management determines is necessary to enable the preparation of the financial statements that are free from material misstatement, whether due to fraud or error. </w:t>
      </w:r>
    </w:p>
    <w:p w14:paraId="64CDCCC6" w14:textId="77777777" w:rsidR="00B51A6C" w:rsidRPr="00BB1D7A" w:rsidRDefault="00B51A6C" w:rsidP="00226811">
      <w:pPr>
        <w:rPr>
          <w:rFonts w:cs="Arial"/>
          <w:lang w:val="en-US"/>
        </w:rPr>
      </w:pPr>
    </w:p>
    <w:p w14:paraId="469C7DDD" w14:textId="77777777" w:rsidR="00BB1D7A" w:rsidRDefault="00C37A69" w:rsidP="00226811">
      <w:pPr>
        <w:rPr>
          <w:rFonts w:cs="Arial"/>
          <w:lang w:val="en-US"/>
        </w:rPr>
      </w:pPr>
      <w:r w:rsidRPr="00BB1D7A">
        <w:rPr>
          <w:rFonts w:cs="Arial"/>
          <w:lang w:val="en-US"/>
        </w:rPr>
        <w:t>As part of the preparation of the financial statements, management is responsible for assessing the company's</w:t>
      </w:r>
      <w:r w:rsidRPr="00BB1D7A">
        <w:rPr>
          <w:rFonts w:cs="Arial"/>
          <w:vertAlign w:val="superscript"/>
        </w:rPr>
        <w:footnoteReference w:id="20"/>
      </w:r>
      <w:r w:rsidRPr="00BB1D7A">
        <w:rPr>
          <w:rFonts w:cs="Arial"/>
          <w:lang w:val="en-US"/>
        </w:rPr>
        <w:t xml:space="preserve"> ability to continue as a going concern. Based on the financial reporting framework mentioned, management should prepare the financial statements using the going concern basis of accounting, unless management either intends to liquidate the company</w:t>
      </w:r>
      <w:r w:rsidRPr="00BB1D7A">
        <w:rPr>
          <w:rFonts w:cs="Arial"/>
          <w:vertAlign w:val="superscript"/>
        </w:rPr>
        <w:footnoteReference w:id="21"/>
      </w:r>
      <w:r w:rsidRPr="00BB1D7A">
        <w:rPr>
          <w:rFonts w:cs="Arial"/>
          <w:lang w:val="en-US"/>
        </w:rPr>
        <w:t xml:space="preserve"> or to cease operations</w:t>
      </w:r>
      <w:r w:rsidRPr="00BB1D7A">
        <w:rPr>
          <w:rFonts w:cs="Arial"/>
          <w:vertAlign w:val="superscript"/>
        </w:rPr>
        <w:footnoteReference w:id="22"/>
      </w:r>
      <w:r w:rsidRPr="00BB1D7A">
        <w:rPr>
          <w:rFonts w:cs="Arial"/>
          <w:lang w:val="en-US"/>
        </w:rPr>
        <w:t>, or has no realistic alternative but to do so.</w:t>
      </w:r>
    </w:p>
    <w:p w14:paraId="4635B028" w14:textId="1817080C" w:rsidR="00B51A6C" w:rsidRPr="00BB1D7A" w:rsidRDefault="00C37A69" w:rsidP="00226811">
      <w:pPr>
        <w:rPr>
          <w:rFonts w:cs="Arial"/>
          <w:lang w:val="en-US"/>
        </w:rPr>
      </w:pPr>
      <w:r w:rsidRPr="00BB1D7A">
        <w:rPr>
          <w:rFonts w:cs="Arial"/>
          <w:lang w:val="en-US"/>
        </w:rPr>
        <w:cr/>
        <w:t xml:space="preserve"> Management should disclose events and circumstances that may cast significant doubt on the company's</w:t>
      </w:r>
      <w:r w:rsidRPr="00BB1D7A">
        <w:rPr>
          <w:rFonts w:cs="Arial"/>
          <w:vertAlign w:val="superscript"/>
        </w:rPr>
        <w:footnoteReference w:id="23"/>
      </w:r>
      <w:r w:rsidRPr="00BB1D7A">
        <w:rPr>
          <w:rFonts w:cs="Arial"/>
          <w:lang w:val="en-US"/>
        </w:rPr>
        <w:t xml:space="preserve"> ability to continue as a going concern in the financial statements.</w:t>
      </w:r>
      <w:r w:rsidRPr="00BB1D7A">
        <w:rPr>
          <w:rFonts w:cs="Arial"/>
          <w:vertAlign w:val="superscript"/>
        </w:rPr>
        <w:footnoteReference w:id="24"/>
      </w:r>
      <w:r w:rsidRPr="00BB1D7A">
        <w:rPr>
          <w:rFonts w:cs="Arial"/>
          <w:lang w:val="en-US"/>
        </w:rPr>
        <w:t xml:space="preserve"> </w:t>
      </w:r>
    </w:p>
    <w:p w14:paraId="171C2122" w14:textId="77777777" w:rsidR="00DB31D4" w:rsidRPr="00BB1D7A" w:rsidRDefault="00DB31D4" w:rsidP="00226811">
      <w:pPr>
        <w:rPr>
          <w:rFonts w:cs="Arial"/>
          <w:lang w:val="en-US"/>
        </w:rPr>
      </w:pPr>
    </w:p>
    <w:p w14:paraId="14B3C6E0" w14:textId="77777777" w:rsidR="00B51A6C" w:rsidRPr="00BB1D7A" w:rsidRDefault="00C37A69" w:rsidP="00226811">
      <w:pPr>
        <w:rPr>
          <w:rFonts w:cs="Arial"/>
          <w:lang w:val="en-US"/>
        </w:rPr>
      </w:pPr>
      <w:r w:rsidRPr="00BB1D7A">
        <w:rPr>
          <w:rFonts w:cs="Arial"/>
          <w:b/>
          <w:lang w:val="en-US"/>
        </w:rPr>
        <w:t>Our responsibilities for the audit of the financial statements</w:t>
      </w:r>
    </w:p>
    <w:p w14:paraId="4FE138C5" w14:textId="074BDE79" w:rsidR="00B51A6C" w:rsidRDefault="00C37A69" w:rsidP="00226811">
      <w:pPr>
        <w:rPr>
          <w:rFonts w:cs="Arial"/>
          <w:lang w:val="en-US"/>
        </w:rPr>
      </w:pPr>
      <w:r w:rsidRPr="00BB1D7A">
        <w:rPr>
          <w:rFonts w:cs="Arial"/>
          <w:lang w:val="en-US"/>
        </w:rPr>
        <w:t xml:space="preserve">Our objective is to plan and perform the audit engagement in a manner that allows us to obtain sufficient and appropriate audit evidence for our opinion. </w:t>
      </w:r>
    </w:p>
    <w:p w14:paraId="04A286FA" w14:textId="77777777" w:rsidR="00BB1D7A" w:rsidRPr="00BB1D7A" w:rsidRDefault="00BB1D7A" w:rsidP="00226811">
      <w:pPr>
        <w:rPr>
          <w:rFonts w:cs="Arial"/>
          <w:lang w:val="en-US"/>
        </w:rPr>
      </w:pPr>
    </w:p>
    <w:p w14:paraId="0E4BBCA7" w14:textId="4774779B" w:rsidR="00B51A6C" w:rsidRDefault="00C37A69" w:rsidP="00226811">
      <w:pPr>
        <w:rPr>
          <w:rFonts w:cs="Arial"/>
          <w:lang w:val="en-US"/>
        </w:rPr>
      </w:pPr>
      <w:r w:rsidRPr="00BB1D7A">
        <w:rPr>
          <w:rFonts w:cs="Arial"/>
          <w:lang w:val="en-US"/>
        </w:rPr>
        <w:t xml:space="preserve">Our audit has been performed with a high, but not absolute, level of assurance, which means we may not detect all material errors and fraud during our audit. </w:t>
      </w:r>
    </w:p>
    <w:p w14:paraId="07B51D31" w14:textId="77777777" w:rsidR="00BB1D7A" w:rsidRPr="00BB1D7A" w:rsidRDefault="00BB1D7A" w:rsidP="00226811">
      <w:pPr>
        <w:rPr>
          <w:rFonts w:cs="Arial"/>
          <w:lang w:val="en-US"/>
        </w:rPr>
      </w:pPr>
    </w:p>
    <w:p w14:paraId="0A911967" w14:textId="77777777" w:rsidR="00B51A6C" w:rsidRPr="00BB1D7A" w:rsidRDefault="00C37A69" w:rsidP="00226811">
      <w:pPr>
        <w:rPr>
          <w:rFonts w:cs="Arial"/>
          <w:lang w:val="en-US"/>
        </w:rPr>
      </w:pPr>
      <w:r w:rsidRPr="00BB1D7A">
        <w:rPr>
          <w:rFonts w:cs="Arial"/>
          <w:lang w:val="en-US"/>
        </w:rPr>
        <w:t>Misstatements can arise from fraud or error and are considered material if, individually or in the aggregate, they could reasonably be expected to influence the economic decisions of users taken on the basis of these financial statements. The materiality affects the nature, timing and extent of our audit procedures and the evaluation of the effect of identified misstatements on our opinion.</w:t>
      </w:r>
      <w:r w:rsidRPr="00BB1D7A">
        <w:rPr>
          <w:rFonts w:cs="Arial"/>
          <w:vertAlign w:val="superscript"/>
        </w:rPr>
        <w:footnoteReference w:id="25"/>
      </w:r>
      <w:r w:rsidRPr="00BB1D7A">
        <w:rPr>
          <w:rFonts w:cs="Arial"/>
          <w:lang w:val="en-US"/>
        </w:rPr>
        <w:t xml:space="preserve"> </w:t>
      </w:r>
    </w:p>
    <w:p w14:paraId="7B8849E0" w14:textId="77777777" w:rsidR="00B51A6C" w:rsidRPr="00BB1D7A" w:rsidRDefault="00B51A6C" w:rsidP="00226811">
      <w:pPr>
        <w:rPr>
          <w:rFonts w:cs="Arial"/>
          <w:lang w:val="en-US"/>
        </w:rPr>
      </w:pPr>
    </w:p>
    <w:p w14:paraId="3686FED3" w14:textId="3CDD4790" w:rsidR="00B51A6C" w:rsidRPr="00BB1D7A" w:rsidRDefault="00C37A69" w:rsidP="00226811">
      <w:pPr>
        <w:rPr>
          <w:rFonts w:cs="Arial"/>
        </w:rPr>
      </w:pPr>
      <w:r w:rsidRPr="00BB1D7A">
        <w:rPr>
          <w:rFonts w:cs="Arial"/>
          <w:lang w:val="en-US"/>
        </w:rPr>
        <w:t xml:space="preserve">We have exercised professional judgement and have maintained professional </w:t>
      </w:r>
      <w:proofErr w:type="spellStart"/>
      <w:r w:rsidRPr="00BB1D7A">
        <w:rPr>
          <w:rFonts w:cs="Arial"/>
          <w:lang w:val="en-US"/>
        </w:rPr>
        <w:t>scepticism</w:t>
      </w:r>
      <w:proofErr w:type="spellEnd"/>
      <w:r w:rsidRPr="00BB1D7A">
        <w:rPr>
          <w:rFonts w:cs="Arial"/>
          <w:lang w:val="en-US"/>
        </w:rPr>
        <w:t xml:space="preserve"> throughout the audit, in accordance with Dutch Standards on Auditing, ethical requirements and independence requirements. </w:t>
      </w:r>
      <w:proofErr w:type="spellStart"/>
      <w:r w:rsidRPr="00BB1D7A">
        <w:rPr>
          <w:rFonts w:cs="Arial"/>
        </w:rPr>
        <w:t>Our</w:t>
      </w:r>
      <w:proofErr w:type="spellEnd"/>
      <w:r w:rsidRPr="00BB1D7A">
        <w:rPr>
          <w:rFonts w:cs="Arial"/>
        </w:rPr>
        <w:t xml:space="preserve"> audit </w:t>
      </w:r>
      <w:proofErr w:type="spellStart"/>
      <w:r w:rsidRPr="00BB1D7A">
        <w:rPr>
          <w:rFonts w:cs="Arial"/>
        </w:rPr>
        <w:t>included</w:t>
      </w:r>
      <w:proofErr w:type="spellEnd"/>
      <w:r w:rsidRPr="00BB1D7A">
        <w:rPr>
          <w:rFonts w:cs="Arial"/>
        </w:rPr>
        <w:t xml:space="preserve"> </w:t>
      </w:r>
      <w:proofErr w:type="spellStart"/>
      <w:r w:rsidRPr="00BB1D7A">
        <w:rPr>
          <w:rFonts w:cs="Arial"/>
        </w:rPr>
        <w:t>among</w:t>
      </w:r>
      <w:proofErr w:type="spellEnd"/>
      <w:r w:rsidRPr="00BB1D7A">
        <w:rPr>
          <w:rFonts w:cs="Arial"/>
        </w:rPr>
        <w:t xml:space="preserve"> </w:t>
      </w:r>
      <w:proofErr w:type="spellStart"/>
      <w:r w:rsidRPr="00BB1D7A">
        <w:rPr>
          <w:rFonts w:cs="Arial"/>
        </w:rPr>
        <w:t>others</w:t>
      </w:r>
      <w:proofErr w:type="spellEnd"/>
      <w:r w:rsidRPr="00BB1D7A">
        <w:rPr>
          <w:rFonts w:cs="Arial"/>
        </w:rPr>
        <w:t xml:space="preserve">: </w:t>
      </w:r>
    </w:p>
    <w:p w14:paraId="73EAC695" w14:textId="77777777" w:rsidR="00B51A6C" w:rsidRPr="00061AB4" w:rsidRDefault="00C37A69" w:rsidP="00226811">
      <w:pPr>
        <w:numPr>
          <w:ilvl w:val="0"/>
          <w:numId w:val="10"/>
        </w:numPr>
        <w:rPr>
          <w:rFonts w:cs="Arial"/>
          <w:iCs/>
          <w:lang w:val="en-US"/>
        </w:rPr>
      </w:pPr>
      <w:r w:rsidRPr="0045529B">
        <w:rPr>
          <w:rFonts w:cs="Arial"/>
          <w:iCs/>
          <w:lang w:val="en-US"/>
        </w:rPr>
        <w:t xml:space="preserve">identifying and assessing the risks of material misstatement of the financial statements, whether due to fraud or error, designing and performing audit procedures responsive to those risks, and obtaining audit evidence that is sufficient and appropriate to provide a basis for our opinion. </w:t>
      </w:r>
      <w:r w:rsidRPr="00061AB4">
        <w:rPr>
          <w:rFonts w:cs="Arial"/>
          <w:iCs/>
          <w:lang w:val="en-US"/>
        </w:rPr>
        <w:t xml:space="preserve">The risk of not detecting a material misstatement resulting from fraud is higher than for one resulting </w:t>
      </w:r>
      <w:r w:rsidRPr="00061AB4">
        <w:rPr>
          <w:rFonts w:cs="Arial"/>
          <w:iCs/>
          <w:lang w:val="en-US"/>
        </w:rPr>
        <w:lastRenderedPageBreak/>
        <w:t xml:space="preserve">from error, as fraud may involve collusion, forgery, intentional omissions, misrepresentations, or the override of internal control; </w:t>
      </w:r>
    </w:p>
    <w:p w14:paraId="10D12B7B" w14:textId="77777777" w:rsidR="00B51A6C" w:rsidRPr="00061AB4" w:rsidRDefault="00C37A69" w:rsidP="00226811">
      <w:pPr>
        <w:numPr>
          <w:ilvl w:val="0"/>
          <w:numId w:val="10"/>
        </w:numPr>
        <w:rPr>
          <w:rFonts w:cs="Arial"/>
          <w:iCs/>
          <w:lang w:val="en-US"/>
        </w:rPr>
      </w:pPr>
      <w:r w:rsidRPr="00061AB4">
        <w:rPr>
          <w:rFonts w:cs="Arial"/>
          <w:iCs/>
          <w:lang w:val="en-US"/>
        </w:rPr>
        <w:t>obtaining an understanding of internal control relevant to the audit in order to design audit procedures that are appropriate in the circumstances, but not for the purpose of expressing an opinion on the effectiveness of the entity</w:t>
      </w:r>
      <w:r w:rsidRPr="0045529B">
        <w:rPr>
          <w:rFonts w:cs="Arial"/>
          <w:iCs/>
          <w:vertAlign w:val="superscript"/>
        </w:rPr>
        <w:footnoteReference w:id="26"/>
      </w:r>
      <w:r w:rsidRPr="00061AB4">
        <w:rPr>
          <w:rFonts w:cs="Arial"/>
          <w:iCs/>
          <w:lang w:val="en-US"/>
        </w:rPr>
        <w:t xml:space="preserve">'s internal control; </w:t>
      </w:r>
    </w:p>
    <w:p w14:paraId="437DD025" w14:textId="77777777" w:rsidR="00B51A6C" w:rsidRPr="00061AB4" w:rsidRDefault="00C37A69" w:rsidP="00226811">
      <w:pPr>
        <w:numPr>
          <w:ilvl w:val="0"/>
          <w:numId w:val="10"/>
        </w:numPr>
        <w:rPr>
          <w:rFonts w:cs="Arial"/>
          <w:iCs/>
          <w:lang w:val="en-US"/>
        </w:rPr>
      </w:pPr>
      <w:r w:rsidRPr="00061AB4">
        <w:rPr>
          <w:rFonts w:cs="Arial"/>
          <w:iCs/>
          <w:lang w:val="en-US"/>
        </w:rPr>
        <w:t xml:space="preserve">evaluating the appropriateness of accounting policies used and the reasonableness of accounting estimates and related disclosures made by management; </w:t>
      </w:r>
    </w:p>
    <w:p w14:paraId="4CA6F9B3" w14:textId="30C3195A" w:rsidR="00B51A6C" w:rsidRPr="00061AB4" w:rsidRDefault="00C37A69" w:rsidP="00226811">
      <w:pPr>
        <w:numPr>
          <w:ilvl w:val="0"/>
          <w:numId w:val="10"/>
        </w:numPr>
        <w:rPr>
          <w:rFonts w:cs="Arial"/>
          <w:iCs/>
          <w:lang w:val="en-US"/>
        </w:rPr>
      </w:pPr>
      <w:r w:rsidRPr="00061AB4">
        <w:rPr>
          <w:rFonts w:cs="Arial"/>
          <w:iCs/>
          <w:lang w:val="en-US"/>
        </w:rPr>
        <w:t>concluding on the appropriateness of management's use of the going concern basis of accounting, and based on the audit evidence obtained, whether a material uncertainty exists related to events or conditions that may cast significant doubt on the company's ability to continue as a going concern. If we conclude that a material uncertainty exists, we are required to draw attention in our auditor's report to the related disclosures in the financial statements or, if such disclosures are inadequate, to modify our opinion. Our conclusions are based on the audit evidence obtained up to the date of our auditor's report. However, future events or conditions may cause a company to cease to continue as a going concern.</w:t>
      </w:r>
      <w:r w:rsidRPr="0045529B">
        <w:rPr>
          <w:rFonts w:cs="Arial"/>
          <w:iCs/>
          <w:vertAlign w:val="superscript"/>
        </w:rPr>
        <w:footnoteReference w:id="27"/>
      </w:r>
      <w:r w:rsidRPr="00061AB4">
        <w:rPr>
          <w:rFonts w:cs="Arial"/>
          <w:iCs/>
          <w:lang w:val="en-US"/>
        </w:rPr>
        <w:t xml:space="preserve"> </w:t>
      </w:r>
    </w:p>
    <w:p w14:paraId="3CC63533" w14:textId="77777777" w:rsidR="00B51A6C" w:rsidRPr="0045529B" w:rsidRDefault="00C37A69" w:rsidP="00226811">
      <w:pPr>
        <w:numPr>
          <w:ilvl w:val="0"/>
          <w:numId w:val="10"/>
        </w:numPr>
        <w:rPr>
          <w:rFonts w:cs="Arial"/>
          <w:iCs/>
          <w:lang w:val="en-US"/>
        </w:rPr>
      </w:pPr>
      <w:r w:rsidRPr="0045529B">
        <w:rPr>
          <w:rFonts w:cs="Arial"/>
          <w:iCs/>
          <w:lang w:val="en-US"/>
        </w:rPr>
        <w:t xml:space="preserve">evaluating the overall presentation, structure and content of the financial statements, including the disclosures; and </w:t>
      </w:r>
    </w:p>
    <w:p w14:paraId="1AF3B1F5" w14:textId="47B06BE9" w:rsidR="00B51A6C" w:rsidRPr="00BB1D7A" w:rsidRDefault="00C37A69" w:rsidP="00226811">
      <w:pPr>
        <w:numPr>
          <w:ilvl w:val="0"/>
          <w:numId w:val="10"/>
        </w:numPr>
        <w:rPr>
          <w:rFonts w:cs="Arial"/>
          <w:lang w:val="en-US"/>
        </w:rPr>
      </w:pPr>
      <w:r w:rsidRPr="00061AB4">
        <w:rPr>
          <w:rFonts w:cs="Arial"/>
          <w:iCs/>
          <w:lang w:val="en-US"/>
        </w:rPr>
        <w:t>evaluating whether the financial statements represent the underlying transactions and events in a manner that achieves fair presentation.</w:t>
      </w:r>
      <w:r w:rsidRPr="00BB1D7A">
        <w:rPr>
          <w:rFonts w:cs="Arial"/>
          <w:lang w:val="en-US"/>
        </w:rPr>
        <w:t xml:space="preserve"> </w:t>
      </w:r>
    </w:p>
    <w:p w14:paraId="11FEC1F9" w14:textId="77777777" w:rsidR="00B51A6C" w:rsidRPr="00BB1D7A" w:rsidRDefault="00B51A6C" w:rsidP="00226811">
      <w:pPr>
        <w:rPr>
          <w:rFonts w:cs="Arial"/>
          <w:lang w:val="en-US"/>
        </w:rPr>
      </w:pPr>
    </w:p>
    <w:p w14:paraId="7564293F" w14:textId="77777777" w:rsidR="00B51A6C" w:rsidRPr="00BB1D7A" w:rsidRDefault="00C37A69" w:rsidP="00226811">
      <w:pPr>
        <w:rPr>
          <w:rFonts w:cs="Arial"/>
          <w:lang w:val="en-US"/>
        </w:rPr>
      </w:pPr>
      <w:r w:rsidRPr="00BB1D7A">
        <w:rPr>
          <w:rFonts w:cs="Arial"/>
          <w:lang w:val="en-US"/>
        </w:rPr>
        <w:t>Because we are ultimately responsible for the opinion, we are also responsible for directing, supervising and performing the group audit. In this respect we have determined the nature and extent of the audit procedures to be carried out for group entities. Decisive were the size and/or the risk profile of the group entities or operations. On this basis, we selected group entities for which an audit or review had to be carried out on the complete set of financial information or specific items.</w:t>
      </w:r>
      <w:r w:rsidRPr="00BB1D7A">
        <w:rPr>
          <w:rFonts w:cs="Arial"/>
          <w:vertAlign w:val="superscript"/>
        </w:rPr>
        <w:footnoteReference w:id="28"/>
      </w:r>
      <w:r w:rsidRPr="00BB1D7A">
        <w:rPr>
          <w:rFonts w:cs="Arial"/>
          <w:lang w:val="en-US"/>
        </w:rPr>
        <w:t xml:space="preserve"> </w:t>
      </w:r>
    </w:p>
    <w:p w14:paraId="1E8F5425" w14:textId="77777777" w:rsidR="00B51A6C" w:rsidRPr="00BB1D7A" w:rsidRDefault="00B51A6C" w:rsidP="00226811">
      <w:pPr>
        <w:rPr>
          <w:rFonts w:cs="Arial"/>
          <w:lang w:val="en-US"/>
        </w:rPr>
      </w:pPr>
    </w:p>
    <w:p w14:paraId="7B9BC576" w14:textId="77777777" w:rsidR="00B51A6C" w:rsidRPr="00BB1D7A" w:rsidRDefault="00C37A69" w:rsidP="00226811">
      <w:pPr>
        <w:rPr>
          <w:rFonts w:cs="Arial"/>
          <w:lang w:val="en-US"/>
        </w:rPr>
      </w:pPr>
      <w:r w:rsidRPr="00BB1D7A">
        <w:rPr>
          <w:rFonts w:cs="Arial"/>
          <w:lang w:val="en-US"/>
        </w:rPr>
        <w:t>We communicate with those charged with governance</w:t>
      </w:r>
      <w:r w:rsidRPr="00BB1D7A">
        <w:rPr>
          <w:rFonts w:cs="Arial"/>
          <w:vertAlign w:val="superscript"/>
        </w:rPr>
        <w:footnoteReference w:id="29"/>
      </w:r>
      <w:r w:rsidRPr="00BB1D7A">
        <w:rPr>
          <w:rFonts w:cs="Arial"/>
          <w:lang w:val="en-US"/>
        </w:rPr>
        <w:t xml:space="preserve"> regarding, among other matters, the planned scope and timing of the audit and significant audit findings, including any significant findings in internal control that we identify during our audit.  </w:t>
      </w:r>
    </w:p>
    <w:p w14:paraId="21F33EA6" w14:textId="77777777" w:rsidR="00B51A6C" w:rsidRPr="00BB1D7A" w:rsidRDefault="00B51A6C" w:rsidP="00226811">
      <w:pPr>
        <w:rPr>
          <w:rFonts w:cs="Arial"/>
          <w:lang w:val="en-US"/>
        </w:rPr>
      </w:pPr>
    </w:p>
    <w:p w14:paraId="0BB726AC" w14:textId="3C329562" w:rsidR="00B51A6C" w:rsidRDefault="00C37A69" w:rsidP="00226811">
      <w:pPr>
        <w:rPr>
          <w:rFonts w:cs="Arial"/>
        </w:rPr>
      </w:pPr>
      <w:r w:rsidRPr="00BB1D7A">
        <w:rPr>
          <w:rFonts w:cs="Arial"/>
        </w:rPr>
        <w:t xml:space="preserve">Plaats en datum </w:t>
      </w:r>
    </w:p>
    <w:p w14:paraId="0C534916" w14:textId="77777777" w:rsidR="00B51A6C" w:rsidRPr="00BB1D7A" w:rsidRDefault="00C37A69" w:rsidP="00226811">
      <w:pPr>
        <w:rPr>
          <w:rFonts w:cs="Arial"/>
        </w:rPr>
      </w:pPr>
      <w:r w:rsidRPr="00BB1D7A">
        <w:rPr>
          <w:rFonts w:cs="Arial"/>
        </w:rPr>
        <w:t xml:space="preserve">... (naam accountantspraktijk) </w:t>
      </w:r>
    </w:p>
    <w:p w14:paraId="72279819" w14:textId="77777777" w:rsidR="00B51A6C" w:rsidRPr="00BB1D7A" w:rsidRDefault="00C37A69" w:rsidP="00226811">
      <w:pPr>
        <w:rPr>
          <w:rFonts w:cs="Arial"/>
        </w:rPr>
      </w:pPr>
      <w:r w:rsidRPr="00BB1D7A">
        <w:rPr>
          <w:rFonts w:cs="Arial"/>
        </w:rPr>
        <w:t xml:space="preserve">... (naam accountant) </w:t>
      </w:r>
    </w:p>
    <w:p w14:paraId="7402DF61" w14:textId="75721ACB" w:rsidR="00C37A69" w:rsidRPr="00BB1D7A" w:rsidRDefault="00C37A69" w:rsidP="00226811">
      <w:pPr>
        <w:rPr>
          <w:rFonts w:cs="Arial"/>
        </w:rPr>
      </w:pPr>
      <w:r w:rsidRPr="00BB1D7A">
        <w:rPr>
          <w:rFonts w:cs="Arial"/>
        </w:rPr>
        <w:t>.... (vestigingsplaats accountantspraktijk)</w:t>
      </w:r>
      <w:r w:rsidRPr="00BB1D7A">
        <w:rPr>
          <w:rFonts w:cs="Arial"/>
        </w:rPr>
        <w:cr/>
      </w:r>
    </w:p>
    <w:sectPr w:rsidR="00C37A69" w:rsidRPr="00BB1D7A" w:rsidSect="00C24664">
      <w:foot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47FB" w14:textId="77777777" w:rsidR="00510A61" w:rsidRDefault="00C37A69">
      <w:r>
        <w:separator/>
      </w:r>
    </w:p>
    <w:p w14:paraId="7E500A91" w14:textId="77777777" w:rsidR="00A52FCD" w:rsidRDefault="00A52FCD"/>
  </w:endnote>
  <w:endnote w:type="continuationSeparator" w:id="0">
    <w:p w14:paraId="044DFF9F" w14:textId="77777777" w:rsidR="00510A61" w:rsidRDefault="00C37A69">
      <w:r>
        <w:continuationSeparator/>
      </w:r>
    </w:p>
    <w:p w14:paraId="7153FF1D" w14:textId="77777777" w:rsidR="00A52FCD" w:rsidRDefault="00A52F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5850541"/>
      <w:docPartObj>
        <w:docPartGallery w:val="Page Numbers (Bottom of Page)"/>
        <w:docPartUnique/>
      </w:docPartObj>
    </w:sdtPr>
    <w:sdtEndPr/>
    <w:sdtContent>
      <w:p w14:paraId="413D291F" w14:textId="01FA3AD4" w:rsidR="00C24664" w:rsidRDefault="00C24664">
        <w:pPr>
          <w:pStyle w:val="Voetteks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89B7B" w14:textId="77777777" w:rsidR="00510A61" w:rsidRDefault="00C37A69">
      <w:r>
        <w:separator/>
      </w:r>
    </w:p>
    <w:p w14:paraId="0C431DF2" w14:textId="77777777" w:rsidR="00A52FCD" w:rsidRDefault="00A52FCD"/>
  </w:footnote>
  <w:footnote w:type="continuationSeparator" w:id="0">
    <w:p w14:paraId="35BAE479" w14:textId="77777777" w:rsidR="00510A61" w:rsidRDefault="00C37A69">
      <w:r>
        <w:continuationSeparator/>
      </w:r>
    </w:p>
    <w:p w14:paraId="791FA910" w14:textId="77777777" w:rsidR="00A52FCD" w:rsidRDefault="00A52FCD"/>
  </w:footnote>
  <w:footnote w:id="1">
    <w:p w14:paraId="02543EA1" w14:textId="57200CEE" w:rsidR="00B51A6C" w:rsidRPr="00DB31D4" w:rsidRDefault="00C37A69" w:rsidP="00392837">
      <w:pPr>
        <w:spacing w:after="1" w:line="168" w:lineRule="exact"/>
        <w:rPr>
          <w:sz w:val="16"/>
          <w:szCs w:val="16"/>
        </w:rPr>
      </w:pPr>
      <w:r w:rsidRPr="0045529B">
        <w:rPr>
          <w:sz w:val="16"/>
          <w:szCs w:val="16"/>
          <w:vertAlign w:val="superscript"/>
        </w:rPr>
        <w:t>1</w:t>
      </w:r>
      <w:r w:rsidR="00392837">
        <w:rPr>
          <w:sz w:val="16"/>
          <w:szCs w:val="16"/>
        </w:rPr>
        <w:t xml:space="preserve"> </w:t>
      </w:r>
      <w:r w:rsidRPr="00DB31D4">
        <w:rPr>
          <w:sz w:val="16"/>
          <w:szCs w:val="16"/>
        </w:rPr>
        <w:t>Deze tekst kan specifiek worden gemaakt.</w:t>
      </w:r>
    </w:p>
  </w:footnote>
  <w:footnote w:id="2">
    <w:p w14:paraId="74F3565D" w14:textId="618EF6A6" w:rsidR="00B51A6C" w:rsidRPr="00BB1D7A" w:rsidRDefault="00C37A69" w:rsidP="00392837">
      <w:pPr>
        <w:spacing w:after="1" w:line="168" w:lineRule="exact"/>
        <w:rPr>
          <w:sz w:val="16"/>
          <w:szCs w:val="16"/>
          <w:lang w:val="en-US"/>
        </w:rPr>
      </w:pPr>
      <w:r w:rsidRPr="0045529B">
        <w:rPr>
          <w:sz w:val="16"/>
          <w:szCs w:val="16"/>
          <w:vertAlign w:val="superscript"/>
          <w:lang w:val="en-US"/>
        </w:rPr>
        <w:t>2</w:t>
      </w:r>
      <w:r w:rsidR="00392837">
        <w:rPr>
          <w:sz w:val="16"/>
          <w:szCs w:val="16"/>
          <w:lang w:val="en-US"/>
        </w:rPr>
        <w:t xml:space="preserve"> </w:t>
      </w:r>
      <w:r w:rsidRPr="00BB1D7A">
        <w:rPr>
          <w:sz w:val="16"/>
          <w:szCs w:val="16"/>
          <w:lang w:val="en-US"/>
        </w:rPr>
        <w:t xml:space="preserve">Of </w:t>
      </w:r>
      <w:proofErr w:type="spellStart"/>
      <w:r w:rsidRPr="00BB1D7A">
        <w:rPr>
          <w:sz w:val="16"/>
          <w:szCs w:val="16"/>
          <w:lang w:val="en-US"/>
        </w:rPr>
        <w:t>bij</w:t>
      </w:r>
      <w:proofErr w:type="spellEnd"/>
      <w:r w:rsidRPr="00BB1D7A">
        <w:rPr>
          <w:sz w:val="16"/>
          <w:szCs w:val="16"/>
          <w:lang w:val="en-US"/>
        </w:rPr>
        <w:t xml:space="preserve"> </w:t>
      </w:r>
      <w:proofErr w:type="spellStart"/>
      <w:r w:rsidRPr="00BB1D7A">
        <w:rPr>
          <w:sz w:val="16"/>
          <w:szCs w:val="16"/>
          <w:lang w:val="en-US"/>
        </w:rPr>
        <w:t>een</w:t>
      </w:r>
      <w:proofErr w:type="spellEnd"/>
      <w:r w:rsidRPr="00BB1D7A">
        <w:rPr>
          <w:sz w:val="16"/>
          <w:szCs w:val="16"/>
          <w:lang w:val="en-US"/>
        </w:rPr>
        <w:t xml:space="preserve"> </w:t>
      </w:r>
      <w:proofErr w:type="spellStart"/>
      <w:r w:rsidRPr="00BB1D7A">
        <w:rPr>
          <w:sz w:val="16"/>
          <w:szCs w:val="16"/>
          <w:lang w:val="en-US"/>
        </w:rPr>
        <w:t>gebroken</w:t>
      </w:r>
      <w:proofErr w:type="spellEnd"/>
      <w:r w:rsidRPr="00BB1D7A">
        <w:rPr>
          <w:sz w:val="16"/>
          <w:szCs w:val="16"/>
          <w:lang w:val="en-US"/>
        </w:rPr>
        <w:t xml:space="preserve"> </w:t>
      </w:r>
      <w:proofErr w:type="spellStart"/>
      <w:r w:rsidRPr="00BB1D7A">
        <w:rPr>
          <w:sz w:val="16"/>
          <w:szCs w:val="16"/>
          <w:lang w:val="en-US"/>
        </w:rPr>
        <w:t>boekjaar</w:t>
      </w:r>
      <w:proofErr w:type="spellEnd"/>
      <w:r w:rsidRPr="00BB1D7A">
        <w:rPr>
          <w:sz w:val="16"/>
          <w:szCs w:val="16"/>
          <w:lang w:val="en-US"/>
        </w:rPr>
        <w:t>: for the year ended 30 June YYYY.</w:t>
      </w:r>
    </w:p>
  </w:footnote>
  <w:footnote w:id="3">
    <w:p w14:paraId="3645309D" w14:textId="538D3373" w:rsidR="00B51A6C" w:rsidRPr="00DB31D4" w:rsidRDefault="00C37A69" w:rsidP="00392837">
      <w:pPr>
        <w:spacing w:after="1" w:line="168" w:lineRule="exact"/>
        <w:rPr>
          <w:sz w:val="16"/>
          <w:szCs w:val="16"/>
        </w:rPr>
      </w:pPr>
      <w:r w:rsidRPr="0045529B">
        <w:rPr>
          <w:sz w:val="16"/>
          <w:szCs w:val="16"/>
          <w:vertAlign w:val="superscript"/>
        </w:rPr>
        <w:t>3</w:t>
      </w:r>
      <w:r w:rsidR="00392837">
        <w:rPr>
          <w:sz w:val="16"/>
          <w:szCs w:val="16"/>
        </w:rPr>
        <w:t xml:space="preserve"> </w:t>
      </w:r>
      <w:r w:rsidRPr="00DB31D4">
        <w:rPr>
          <w:sz w:val="16"/>
          <w:szCs w:val="16"/>
        </w:rPr>
        <w:t>Aan te passen aan hoe het omvattend document heet waarin de cliënt de jaarrekening opneemt in plaats van '</w:t>
      </w:r>
      <w:proofErr w:type="spellStart"/>
      <w:r w:rsidRPr="00DB31D4">
        <w:rPr>
          <w:sz w:val="16"/>
          <w:szCs w:val="16"/>
        </w:rPr>
        <w:t>the</w:t>
      </w:r>
      <w:proofErr w:type="spellEnd"/>
      <w:r w:rsidRPr="00DB31D4">
        <w:rPr>
          <w:sz w:val="16"/>
          <w:szCs w:val="16"/>
        </w:rPr>
        <w:t xml:space="preserve"> </w:t>
      </w:r>
      <w:proofErr w:type="spellStart"/>
      <w:r w:rsidRPr="00DB31D4">
        <w:rPr>
          <w:sz w:val="16"/>
          <w:szCs w:val="16"/>
        </w:rPr>
        <w:t>annual</w:t>
      </w:r>
      <w:proofErr w:type="spellEnd"/>
      <w:r w:rsidRPr="00DB31D4">
        <w:rPr>
          <w:sz w:val="16"/>
          <w:szCs w:val="16"/>
        </w:rPr>
        <w:t xml:space="preserve"> report' - '</w:t>
      </w:r>
      <w:proofErr w:type="spellStart"/>
      <w:r w:rsidRPr="00DB31D4">
        <w:rPr>
          <w:sz w:val="16"/>
          <w:szCs w:val="16"/>
        </w:rPr>
        <w:t>the</w:t>
      </w:r>
      <w:proofErr w:type="spellEnd"/>
      <w:r w:rsidRPr="00DB31D4">
        <w:rPr>
          <w:sz w:val="16"/>
          <w:szCs w:val="16"/>
        </w:rPr>
        <w:t xml:space="preserve"> </w:t>
      </w:r>
      <w:proofErr w:type="spellStart"/>
      <w:r w:rsidRPr="00DB31D4">
        <w:rPr>
          <w:sz w:val="16"/>
          <w:szCs w:val="16"/>
        </w:rPr>
        <w:t>annual</w:t>
      </w:r>
      <w:proofErr w:type="spellEnd"/>
      <w:r w:rsidRPr="00DB31D4">
        <w:rPr>
          <w:sz w:val="16"/>
          <w:szCs w:val="16"/>
        </w:rPr>
        <w:t xml:space="preserve"> accounts', enz. - en of de accountant via paginanummers naar de jaarrekening wil verwijzen: [optioneel: on page ... up </w:t>
      </w:r>
      <w:proofErr w:type="spellStart"/>
      <w:r w:rsidRPr="00DB31D4">
        <w:rPr>
          <w:sz w:val="16"/>
          <w:szCs w:val="16"/>
        </w:rPr>
        <w:t>to</w:t>
      </w:r>
      <w:proofErr w:type="spellEnd"/>
      <w:r w:rsidRPr="00DB31D4">
        <w:rPr>
          <w:sz w:val="16"/>
          <w:szCs w:val="16"/>
        </w:rPr>
        <w:t xml:space="preserve"> </w:t>
      </w:r>
      <w:proofErr w:type="spellStart"/>
      <w:r w:rsidRPr="00DB31D4">
        <w:rPr>
          <w:sz w:val="16"/>
          <w:szCs w:val="16"/>
        </w:rPr>
        <w:t>and</w:t>
      </w:r>
      <w:proofErr w:type="spellEnd"/>
      <w:r w:rsidRPr="00DB31D4">
        <w:rPr>
          <w:sz w:val="16"/>
          <w:szCs w:val="16"/>
        </w:rPr>
        <w:t xml:space="preserve"> </w:t>
      </w:r>
      <w:proofErr w:type="spellStart"/>
      <w:r w:rsidRPr="00DB31D4">
        <w:rPr>
          <w:sz w:val="16"/>
          <w:szCs w:val="16"/>
        </w:rPr>
        <w:t>including</w:t>
      </w:r>
      <w:proofErr w:type="spellEnd"/>
      <w:r w:rsidRPr="00DB31D4">
        <w:rPr>
          <w:sz w:val="16"/>
          <w:szCs w:val="16"/>
        </w:rPr>
        <w:t xml:space="preserve"> page ...] </w:t>
      </w:r>
      <w:proofErr w:type="spellStart"/>
      <w:r w:rsidRPr="00DB31D4">
        <w:rPr>
          <w:sz w:val="16"/>
          <w:szCs w:val="16"/>
        </w:rPr>
        <w:t>included</w:t>
      </w:r>
      <w:proofErr w:type="spellEnd"/>
      <w:r w:rsidRPr="00DB31D4">
        <w:rPr>
          <w:sz w:val="16"/>
          <w:szCs w:val="16"/>
        </w:rPr>
        <w:t xml:space="preserve"> in ... (</w:t>
      </w:r>
      <w:proofErr w:type="spellStart"/>
      <w:r w:rsidRPr="00DB31D4">
        <w:rPr>
          <w:sz w:val="16"/>
          <w:szCs w:val="16"/>
        </w:rPr>
        <w:t>this</w:t>
      </w:r>
      <w:proofErr w:type="spellEnd"/>
      <w:r w:rsidRPr="00DB31D4">
        <w:rPr>
          <w:sz w:val="16"/>
          <w:szCs w:val="16"/>
        </w:rPr>
        <w:t xml:space="preserve"> </w:t>
      </w:r>
      <w:proofErr w:type="spellStart"/>
      <w:r w:rsidRPr="00DB31D4">
        <w:rPr>
          <w:sz w:val="16"/>
          <w:szCs w:val="16"/>
        </w:rPr>
        <w:t>annual</w:t>
      </w:r>
      <w:proofErr w:type="spellEnd"/>
      <w:r w:rsidRPr="00DB31D4">
        <w:rPr>
          <w:sz w:val="16"/>
          <w:szCs w:val="16"/>
        </w:rPr>
        <w:t xml:space="preserve"> report) [...] NB: Bij XBRL-</w:t>
      </w:r>
      <w:proofErr w:type="spellStart"/>
      <w:r w:rsidRPr="00DB31D4">
        <w:rPr>
          <w:sz w:val="16"/>
          <w:szCs w:val="16"/>
        </w:rPr>
        <w:t>instances</w:t>
      </w:r>
      <w:proofErr w:type="spellEnd"/>
      <w:r w:rsidRPr="00DB31D4">
        <w:rPr>
          <w:sz w:val="16"/>
          <w:szCs w:val="16"/>
        </w:rPr>
        <w:t xml:space="preserve"> is een verwijzing naar paginanummers zonder betekenis.</w:t>
      </w:r>
    </w:p>
  </w:footnote>
  <w:footnote w:id="4">
    <w:p w14:paraId="1766C723" w14:textId="000B6077" w:rsidR="00B51A6C" w:rsidRPr="00DB31D4" w:rsidRDefault="00C37A69" w:rsidP="00392837">
      <w:pPr>
        <w:spacing w:after="1" w:line="168" w:lineRule="exact"/>
        <w:rPr>
          <w:sz w:val="16"/>
          <w:szCs w:val="16"/>
        </w:rPr>
      </w:pPr>
      <w:r w:rsidRPr="0045529B">
        <w:rPr>
          <w:sz w:val="16"/>
          <w:szCs w:val="16"/>
          <w:vertAlign w:val="superscript"/>
        </w:rPr>
        <w:t>4</w:t>
      </w:r>
      <w:r w:rsidR="00392837">
        <w:rPr>
          <w:sz w:val="16"/>
          <w:szCs w:val="16"/>
        </w:rPr>
        <w:t xml:space="preserve"> </w:t>
      </w:r>
      <w:r w:rsidRPr="00DB31D4">
        <w:rPr>
          <w:sz w:val="16"/>
          <w:szCs w:val="16"/>
        </w:rPr>
        <w:t xml:space="preserve">Of voor een gebroken boekjaar: </w:t>
      </w:r>
      <w:proofErr w:type="spellStart"/>
      <w:r w:rsidRPr="00DB31D4">
        <w:rPr>
          <w:sz w:val="16"/>
          <w:szCs w:val="16"/>
        </w:rPr>
        <w:t>for</w:t>
      </w:r>
      <w:proofErr w:type="spellEnd"/>
      <w:r w:rsidRPr="00DB31D4">
        <w:rPr>
          <w:sz w:val="16"/>
          <w:szCs w:val="16"/>
        </w:rPr>
        <w:t xml:space="preserve"> </w:t>
      </w:r>
      <w:proofErr w:type="spellStart"/>
      <w:r w:rsidRPr="00DB31D4">
        <w:rPr>
          <w:sz w:val="16"/>
          <w:szCs w:val="16"/>
        </w:rPr>
        <w:t>the</w:t>
      </w:r>
      <w:proofErr w:type="spellEnd"/>
      <w:r w:rsidRPr="00DB31D4">
        <w:rPr>
          <w:sz w:val="16"/>
          <w:szCs w:val="16"/>
        </w:rPr>
        <w:t xml:space="preserve"> </w:t>
      </w:r>
      <w:proofErr w:type="spellStart"/>
      <w:r w:rsidRPr="00DB31D4">
        <w:rPr>
          <w:sz w:val="16"/>
          <w:szCs w:val="16"/>
        </w:rPr>
        <w:t>year</w:t>
      </w:r>
      <w:proofErr w:type="spellEnd"/>
      <w:r w:rsidRPr="00DB31D4">
        <w:rPr>
          <w:sz w:val="16"/>
          <w:szCs w:val="16"/>
        </w:rPr>
        <w:t xml:space="preserve"> </w:t>
      </w:r>
      <w:proofErr w:type="spellStart"/>
      <w:r w:rsidRPr="00DB31D4">
        <w:rPr>
          <w:sz w:val="16"/>
          <w:szCs w:val="16"/>
        </w:rPr>
        <w:t>then</w:t>
      </w:r>
      <w:proofErr w:type="spellEnd"/>
      <w:r w:rsidRPr="00DB31D4">
        <w:rPr>
          <w:sz w:val="16"/>
          <w:szCs w:val="16"/>
        </w:rPr>
        <w:t xml:space="preserve"> </w:t>
      </w:r>
      <w:proofErr w:type="spellStart"/>
      <w:r w:rsidRPr="00DB31D4">
        <w:rPr>
          <w:sz w:val="16"/>
          <w:szCs w:val="16"/>
        </w:rPr>
        <w:t>ended</w:t>
      </w:r>
      <w:proofErr w:type="spellEnd"/>
      <w:r w:rsidRPr="00DB31D4">
        <w:rPr>
          <w:sz w:val="16"/>
          <w:szCs w:val="16"/>
        </w:rPr>
        <w:t>.</w:t>
      </w:r>
    </w:p>
  </w:footnote>
  <w:footnote w:id="5">
    <w:p w14:paraId="5CF243DC" w14:textId="4B1C6039" w:rsidR="00B51A6C" w:rsidRPr="00DB31D4" w:rsidRDefault="00C37A69" w:rsidP="00392837">
      <w:pPr>
        <w:spacing w:after="1" w:line="168" w:lineRule="exact"/>
        <w:rPr>
          <w:sz w:val="16"/>
          <w:szCs w:val="16"/>
        </w:rPr>
      </w:pPr>
      <w:r w:rsidRPr="0045529B">
        <w:rPr>
          <w:sz w:val="16"/>
          <w:szCs w:val="16"/>
          <w:vertAlign w:val="superscript"/>
        </w:rPr>
        <w:t>5</w:t>
      </w:r>
      <w:r w:rsidR="00392837">
        <w:rPr>
          <w:sz w:val="16"/>
          <w:szCs w:val="16"/>
        </w:rPr>
        <w:t xml:space="preserve"> </w:t>
      </w:r>
      <w:r w:rsidRPr="00DB31D4">
        <w:rPr>
          <w:sz w:val="16"/>
          <w:szCs w:val="16"/>
        </w:rPr>
        <w:t>Indien van toepassing aan te vullen met andere geldende wet- en regelgeving, zoals WNT.</w:t>
      </w:r>
    </w:p>
  </w:footnote>
  <w:footnote w:id="6">
    <w:p w14:paraId="552226F6" w14:textId="1A880787" w:rsidR="00B51A6C" w:rsidRPr="00DB31D4" w:rsidRDefault="00C37A69" w:rsidP="00392837">
      <w:pPr>
        <w:spacing w:after="1" w:line="168" w:lineRule="exact"/>
        <w:rPr>
          <w:sz w:val="16"/>
          <w:szCs w:val="16"/>
        </w:rPr>
      </w:pPr>
      <w:r w:rsidRPr="0045529B">
        <w:rPr>
          <w:sz w:val="16"/>
          <w:szCs w:val="16"/>
          <w:vertAlign w:val="superscript"/>
        </w:rPr>
        <w:t>6</w:t>
      </w:r>
      <w:r w:rsidR="00392837">
        <w:rPr>
          <w:sz w:val="16"/>
          <w:szCs w:val="16"/>
        </w:rPr>
        <w:t xml:space="preserve"> </w:t>
      </w:r>
      <w:r w:rsidRPr="00DB31D4">
        <w:rPr>
          <w:sz w:val="16"/>
          <w:szCs w:val="16"/>
        </w:rPr>
        <w:t>Opsomming componenten van het opdrachtobject laten aansluiten op de eisen die het stelsel van financiële verslaggeving daaraan stelt en de keuzes die daarbinnen door de entiteit zijn gemaakt en aan te passen aan een gebroken boekjaar.</w:t>
      </w:r>
    </w:p>
  </w:footnote>
  <w:footnote w:id="7">
    <w:p w14:paraId="1A3D959E" w14:textId="2F2CF9EF" w:rsidR="00B51A6C" w:rsidRPr="00DB31D4" w:rsidRDefault="00C37A69" w:rsidP="00392837">
      <w:pPr>
        <w:spacing w:after="1" w:line="168" w:lineRule="exact"/>
        <w:rPr>
          <w:sz w:val="16"/>
          <w:szCs w:val="16"/>
        </w:rPr>
      </w:pPr>
      <w:r w:rsidRPr="0045529B">
        <w:rPr>
          <w:sz w:val="16"/>
          <w:szCs w:val="16"/>
          <w:vertAlign w:val="superscript"/>
        </w:rPr>
        <w:t>7</w:t>
      </w:r>
      <w:r w:rsidR="00392837">
        <w:rPr>
          <w:sz w:val="16"/>
          <w:szCs w:val="16"/>
        </w:rPr>
        <w:t xml:space="preserve"> </w:t>
      </w:r>
      <w:r w:rsidRPr="00DB31D4">
        <w:rPr>
          <w:sz w:val="16"/>
          <w:szCs w:val="16"/>
        </w:rPr>
        <w:t>Aan te vullen met andere geldende wet- en regelgeving, zoals een controleprotocol.</w:t>
      </w:r>
    </w:p>
  </w:footnote>
  <w:footnote w:id="8">
    <w:p w14:paraId="47A1979A" w14:textId="4CF10AED" w:rsidR="00B51A6C" w:rsidRPr="00DB31D4" w:rsidRDefault="00C37A69" w:rsidP="00392837">
      <w:pPr>
        <w:spacing w:after="1" w:line="168" w:lineRule="exact"/>
        <w:rPr>
          <w:sz w:val="16"/>
          <w:szCs w:val="16"/>
        </w:rPr>
      </w:pPr>
      <w:r w:rsidRPr="0045529B">
        <w:rPr>
          <w:sz w:val="16"/>
          <w:szCs w:val="16"/>
          <w:vertAlign w:val="superscript"/>
        </w:rPr>
        <w:t>8</w:t>
      </w:r>
      <w:r w:rsidR="00392837">
        <w:rPr>
          <w:sz w:val="16"/>
          <w:szCs w:val="16"/>
        </w:rPr>
        <w:t xml:space="preserve"> </w:t>
      </w:r>
      <w:r w:rsidRPr="00DB31D4">
        <w:rPr>
          <w:sz w:val="16"/>
          <w:szCs w:val="16"/>
        </w:rPr>
        <w:t>Laten vervallen bij een andere dan wettelijke controle.</w:t>
      </w:r>
    </w:p>
  </w:footnote>
  <w:footnote w:id="9">
    <w:p w14:paraId="1D41DA8B" w14:textId="7547C8AE" w:rsidR="00B51A6C" w:rsidRPr="00DB31D4" w:rsidRDefault="00C37A69" w:rsidP="00392837">
      <w:pPr>
        <w:spacing w:after="1" w:line="168" w:lineRule="exact"/>
        <w:rPr>
          <w:sz w:val="16"/>
          <w:szCs w:val="16"/>
        </w:rPr>
      </w:pPr>
      <w:r w:rsidRPr="0045529B">
        <w:rPr>
          <w:sz w:val="16"/>
          <w:szCs w:val="16"/>
          <w:vertAlign w:val="superscript"/>
        </w:rPr>
        <w:t>9</w:t>
      </w:r>
      <w:r w:rsidR="00392837">
        <w:rPr>
          <w:sz w:val="16"/>
          <w:szCs w:val="16"/>
        </w:rPr>
        <w:t xml:space="preserve"> </w:t>
      </w:r>
      <w:r w:rsidRPr="00DB31D4">
        <w:rPr>
          <w:sz w:val="16"/>
          <w:szCs w:val="16"/>
        </w:rPr>
        <w:t>Deze paragraafkop samen met de bijbehorende alinea, is een voorbeeld om tegemoet te komen aan de vereisten inzake een inleidende tekst met betrekking tot de beschrijving van de controleaanpak continuïteit, de controleaanpak frauderisico’s en de kernpunten van de controle op grond van Standaard 700, paragraaf 29C respectievelijk Standaard 701, paragraaf 11 (b). De accountant kan het passend achten om op een alternatieve wijze tegemoet te komen aan de hiervoor genoemde vereisten.</w:t>
      </w:r>
    </w:p>
  </w:footnote>
  <w:footnote w:id="10">
    <w:p w14:paraId="0269DA0C" w14:textId="0B54C0E2" w:rsidR="00B51A6C" w:rsidRPr="00DB31D4" w:rsidRDefault="00C37A69" w:rsidP="00392837">
      <w:pPr>
        <w:spacing w:after="1" w:line="168" w:lineRule="exact"/>
        <w:rPr>
          <w:sz w:val="16"/>
          <w:szCs w:val="16"/>
        </w:rPr>
      </w:pPr>
      <w:r w:rsidRPr="0045529B">
        <w:rPr>
          <w:sz w:val="16"/>
          <w:szCs w:val="16"/>
          <w:vertAlign w:val="superscript"/>
        </w:rPr>
        <w:t>10</w:t>
      </w:r>
      <w:r w:rsidR="00392837">
        <w:rPr>
          <w:sz w:val="16"/>
          <w:szCs w:val="16"/>
        </w:rPr>
        <w:t xml:space="preserve"> </w:t>
      </w:r>
      <w:r w:rsidRPr="00DB31D4">
        <w:rPr>
          <w:sz w:val="16"/>
          <w:szCs w:val="16"/>
        </w:rPr>
        <w:t xml:space="preserve">Voor </w:t>
      </w:r>
      <w:proofErr w:type="spellStart"/>
      <w:r w:rsidRPr="00DB31D4">
        <w:rPr>
          <w:sz w:val="16"/>
          <w:szCs w:val="16"/>
        </w:rPr>
        <w:t>oob’s</w:t>
      </w:r>
      <w:proofErr w:type="spellEnd"/>
      <w:r w:rsidRPr="00DB31D4">
        <w:rPr>
          <w:sz w:val="16"/>
          <w:szCs w:val="16"/>
        </w:rPr>
        <w:t xml:space="preserve"> vereist voor boekjaren die zijn aangevangen op of na 15 december 2020. Voor wettelijke controles van niet-</w:t>
      </w:r>
      <w:proofErr w:type="spellStart"/>
      <w:r w:rsidRPr="00DB31D4">
        <w:rPr>
          <w:sz w:val="16"/>
          <w:szCs w:val="16"/>
        </w:rPr>
        <w:t>oob's</w:t>
      </w:r>
      <w:proofErr w:type="spellEnd"/>
      <w:r w:rsidRPr="00DB31D4">
        <w:rPr>
          <w:sz w:val="16"/>
          <w:szCs w:val="16"/>
        </w:rPr>
        <w:t xml:space="preserve"> vereist voor boekjaren die zijn aangevangen op of na 15 december 2021. Eerdere toepassing wordt aanbevolen.</w:t>
      </w:r>
    </w:p>
  </w:footnote>
  <w:footnote w:id="11">
    <w:p w14:paraId="31DE9FC7" w14:textId="7663DBC9" w:rsidR="00B51A6C" w:rsidRPr="00DB31D4" w:rsidRDefault="00C37A69" w:rsidP="00392837">
      <w:pPr>
        <w:spacing w:after="1" w:line="168" w:lineRule="exact"/>
        <w:rPr>
          <w:sz w:val="16"/>
          <w:szCs w:val="16"/>
        </w:rPr>
      </w:pPr>
      <w:r w:rsidRPr="0045529B">
        <w:rPr>
          <w:sz w:val="16"/>
          <w:szCs w:val="16"/>
          <w:vertAlign w:val="superscript"/>
        </w:rPr>
        <w:t>11</w:t>
      </w:r>
      <w:r w:rsidR="00392837">
        <w:rPr>
          <w:sz w:val="16"/>
          <w:szCs w:val="16"/>
        </w:rPr>
        <w:t xml:space="preserve"> </w:t>
      </w:r>
      <w:r w:rsidRPr="00DB31D4">
        <w:rPr>
          <w:sz w:val="16"/>
          <w:szCs w:val="16"/>
        </w:rPr>
        <w:t>Artikel 10 lid 2 onder c. van Verordening (EU) 537/2014 vereist: 'Indien relevant voor [de informatie ter ondersteuning van ons oordeel] </w:t>
      </w:r>
      <w:r w:rsidRPr="00DB31D4">
        <w:rPr>
          <w:b/>
          <w:sz w:val="16"/>
          <w:szCs w:val="16"/>
        </w:rPr>
        <w:t>over elk als significant ingeschat risico op een afwijking van materieel belang</w:t>
      </w:r>
      <w:r w:rsidRPr="00DB31D4">
        <w:rPr>
          <w:sz w:val="16"/>
          <w:szCs w:val="16"/>
        </w:rPr>
        <w:t> verstrekte informatie, bevat de controleverklaring een duidelijke verwijzing naar de desbetreffende toelichtingen in de financiële overzichten.'</w:t>
      </w:r>
    </w:p>
  </w:footnote>
  <w:footnote w:id="12">
    <w:p w14:paraId="44A46F95" w14:textId="5164563E" w:rsidR="00B51A6C" w:rsidRPr="00DB31D4" w:rsidRDefault="00C37A69" w:rsidP="00392837">
      <w:pPr>
        <w:spacing w:after="1" w:line="168" w:lineRule="exact"/>
        <w:rPr>
          <w:sz w:val="16"/>
          <w:szCs w:val="16"/>
        </w:rPr>
      </w:pPr>
      <w:r w:rsidRPr="0045529B">
        <w:rPr>
          <w:sz w:val="16"/>
          <w:szCs w:val="16"/>
          <w:vertAlign w:val="superscript"/>
        </w:rPr>
        <w:t>12</w:t>
      </w:r>
      <w:r w:rsidR="00392837">
        <w:rPr>
          <w:sz w:val="16"/>
          <w:szCs w:val="16"/>
        </w:rPr>
        <w:t xml:space="preserve"> </w:t>
      </w:r>
      <w:r w:rsidRPr="00DB31D4">
        <w:rPr>
          <w:sz w:val="16"/>
          <w:szCs w:val="16"/>
        </w:rPr>
        <w:t>Indien er frauderisico’s zijn die kunnen leiden tot een afwijking van materieel belang die van de accountant geen significante aandacht vereisten bij het uitvoeren van de controle [</w:t>
      </w:r>
      <w:r w:rsidRPr="00DB31D4">
        <w:rPr>
          <w:i/>
          <w:sz w:val="16"/>
          <w:szCs w:val="16"/>
        </w:rPr>
        <w:t>zie ook de toepassingsgerichte en overige verklarende teksten bij Standaard 701, paragraaf 9(a), waaronder A21</w:t>
      </w:r>
      <w:r w:rsidRPr="00DB31D4">
        <w:rPr>
          <w:sz w:val="16"/>
          <w:szCs w:val="16"/>
        </w:rPr>
        <w:t>], heeft de accountant de mogelijkheid om werkzaamheden en uitkomsten en/of waarnemingen in verkorte vorm op te nemen.</w:t>
      </w:r>
      <w:r w:rsidRPr="00DB31D4">
        <w:rPr>
          <w:sz w:val="16"/>
          <w:szCs w:val="16"/>
        </w:rPr>
        <w:cr/>
        <w:t>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13">
    <w:p w14:paraId="7359933F" w14:textId="114D75B2" w:rsidR="00B51A6C" w:rsidRPr="00DB31D4" w:rsidRDefault="00C37A69" w:rsidP="00392837">
      <w:pPr>
        <w:spacing w:after="1" w:line="168" w:lineRule="exact"/>
        <w:rPr>
          <w:sz w:val="16"/>
          <w:szCs w:val="16"/>
        </w:rPr>
      </w:pPr>
      <w:r w:rsidRPr="0045529B">
        <w:rPr>
          <w:sz w:val="16"/>
          <w:szCs w:val="16"/>
          <w:vertAlign w:val="superscript"/>
        </w:rPr>
        <w:t>13</w:t>
      </w:r>
      <w:r w:rsidR="00392837">
        <w:rPr>
          <w:sz w:val="16"/>
          <w:szCs w:val="16"/>
        </w:rPr>
        <w:t xml:space="preserve"> </w:t>
      </w:r>
      <w:r w:rsidRPr="00DB31D4">
        <w:rPr>
          <w:sz w:val="16"/>
          <w:szCs w:val="16"/>
        </w:rPr>
        <w:t>Vereist voor wettelijke controles van boekjaren die zijn aangevangen op of na 15 december 2021. Eerdere toepassing wordt aanbevolen.</w:t>
      </w:r>
      <w:r w:rsidRPr="00DB31D4">
        <w:rPr>
          <w:sz w:val="16"/>
          <w:szCs w:val="16"/>
        </w:rPr>
        <w:c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14">
    <w:p w14:paraId="4E72DC36" w14:textId="611FC140" w:rsidR="00B51A6C" w:rsidRPr="00DB31D4" w:rsidRDefault="00C37A69" w:rsidP="00392837">
      <w:pPr>
        <w:spacing w:after="1" w:line="168" w:lineRule="exact"/>
        <w:rPr>
          <w:sz w:val="16"/>
          <w:szCs w:val="16"/>
        </w:rPr>
      </w:pPr>
      <w:r w:rsidRPr="0045529B">
        <w:rPr>
          <w:sz w:val="16"/>
          <w:szCs w:val="16"/>
          <w:vertAlign w:val="superscript"/>
        </w:rPr>
        <w:t>14</w:t>
      </w:r>
      <w:r w:rsidR="00392837">
        <w:rPr>
          <w:sz w:val="16"/>
          <w:szCs w:val="16"/>
        </w:rPr>
        <w:t xml:space="preserve"> </w:t>
      </w:r>
      <w:r w:rsidRPr="00DB31D4">
        <w:rPr>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15">
    <w:p w14:paraId="2776D511" w14:textId="7B151869" w:rsidR="00B51A6C" w:rsidRPr="00DB31D4" w:rsidRDefault="00C37A69" w:rsidP="00392837">
      <w:pPr>
        <w:spacing w:after="1" w:line="168" w:lineRule="exact"/>
        <w:rPr>
          <w:sz w:val="16"/>
          <w:szCs w:val="16"/>
        </w:rPr>
      </w:pPr>
      <w:r w:rsidRPr="0045529B">
        <w:rPr>
          <w:sz w:val="16"/>
          <w:szCs w:val="16"/>
          <w:vertAlign w:val="superscript"/>
        </w:rPr>
        <w:t>15</w:t>
      </w:r>
      <w:r w:rsidR="00392837">
        <w:rPr>
          <w:sz w:val="16"/>
          <w:szCs w:val="16"/>
        </w:rPr>
        <w:t xml:space="preserve"> </w:t>
      </w:r>
      <w:r w:rsidRPr="00DB31D4">
        <w:rPr>
          <w:sz w:val="16"/>
          <w:szCs w:val="16"/>
        </w:rPr>
        <w:t>Aan te passen aan hoe het omvattend document heet waarin de cliënt de jaarrekening opneemt - '(</w:t>
      </w:r>
      <w:proofErr w:type="spellStart"/>
      <w:r w:rsidRPr="00DB31D4">
        <w:rPr>
          <w:sz w:val="16"/>
          <w:szCs w:val="16"/>
        </w:rPr>
        <w:t>annual</w:t>
      </w:r>
      <w:proofErr w:type="spellEnd"/>
      <w:r w:rsidRPr="00DB31D4">
        <w:rPr>
          <w:sz w:val="16"/>
          <w:szCs w:val="16"/>
        </w:rPr>
        <w:t>) report', '</w:t>
      </w:r>
      <w:proofErr w:type="spellStart"/>
      <w:r w:rsidRPr="00DB31D4">
        <w:rPr>
          <w:sz w:val="16"/>
          <w:szCs w:val="16"/>
        </w:rPr>
        <w:t>the</w:t>
      </w:r>
      <w:proofErr w:type="spellEnd"/>
      <w:r w:rsidRPr="00DB31D4">
        <w:rPr>
          <w:sz w:val="16"/>
          <w:szCs w:val="16"/>
        </w:rPr>
        <w:t xml:space="preserve"> </w:t>
      </w:r>
      <w:proofErr w:type="spellStart"/>
      <w:r w:rsidRPr="00DB31D4">
        <w:rPr>
          <w:sz w:val="16"/>
          <w:szCs w:val="16"/>
        </w:rPr>
        <w:t>annual</w:t>
      </w:r>
      <w:proofErr w:type="spellEnd"/>
      <w:r w:rsidRPr="00DB31D4">
        <w:rPr>
          <w:sz w:val="16"/>
          <w:szCs w:val="16"/>
        </w:rPr>
        <w:t xml:space="preserve"> accounts', enz. De passage '</w:t>
      </w:r>
      <w:proofErr w:type="spellStart"/>
      <w:r w:rsidRPr="00DB31D4">
        <w:rPr>
          <w:sz w:val="16"/>
          <w:szCs w:val="16"/>
        </w:rPr>
        <w:t>included</w:t>
      </w:r>
      <w:proofErr w:type="spellEnd"/>
      <w:r w:rsidRPr="00DB31D4">
        <w:rPr>
          <w:sz w:val="16"/>
          <w:szCs w:val="16"/>
        </w:rPr>
        <w:t xml:space="preserve"> in </w:t>
      </w:r>
      <w:proofErr w:type="spellStart"/>
      <w:r w:rsidRPr="00DB31D4">
        <w:rPr>
          <w:sz w:val="16"/>
          <w:szCs w:val="16"/>
        </w:rPr>
        <w:t>the</w:t>
      </w:r>
      <w:proofErr w:type="spellEnd"/>
      <w:r w:rsidRPr="00DB31D4">
        <w:rPr>
          <w:sz w:val="16"/>
          <w:szCs w:val="16"/>
        </w:rPr>
        <w:t xml:space="preserve"> </w:t>
      </w:r>
      <w:proofErr w:type="spellStart"/>
      <w:r w:rsidRPr="00DB31D4">
        <w:rPr>
          <w:sz w:val="16"/>
          <w:szCs w:val="16"/>
        </w:rPr>
        <w:t>annual</w:t>
      </w:r>
      <w:proofErr w:type="spellEnd"/>
      <w:r w:rsidRPr="00DB31D4">
        <w:rPr>
          <w:sz w:val="16"/>
          <w:szCs w:val="16"/>
        </w:rPr>
        <w:t xml:space="preserve"> report' kan eventueel vervallen.</w:t>
      </w:r>
    </w:p>
  </w:footnote>
  <w:footnote w:id="16">
    <w:p w14:paraId="14D8B1AA" w14:textId="4D1986E6" w:rsidR="00B51A6C" w:rsidRPr="00DB31D4" w:rsidRDefault="00C37A69" w:rsidP="00392837">
      <w:pPr>
        <w:spacing w:after="1" w:line="168" w:lineRule="exact"/>
        <w:rPr>
          <w:sz w:val="16"/>
          <w:szCs w:val="16"/>
        </w:rPr>
      </w:pPr>
      <w:r w:rsidRPr="0045529B">
        <w:rPr>
          <w:sz w:val="16"/>
          <w:szCs w:val="16"/>
          <w:vertAlign w:val="superscript"/>
        </w:rPr>
        <w:t>16</w:t>
      </w:r>
      <w:r w:rsidR="00392837">
        <w:rPr>
          <w:sz w:val="16"/>
          <w:szCs w:val="16"/>
        </w:rPr>
        <w:t xml:space="preserve"> </w:t>
      </w:r>
      <w:r w:rsidRPr="00DB31D4">
        <w:rPr>
          <w:sz w:val="16"/>
          <w:szCs w:val="16"/>
        </w:rPr>
        <w:t>Een meer specifieke opsomming kan worden gebruikt om de andere informatie te identificeren, zoals:</w:t>
      </w:r>
      <w:r w:rsidRPr="00DB31D4">
        <w:rPr>
          <w:sz w:val="16"/>
          <w:szCs w:val="16"/>
        </w:rPr>
        <w:cr/>
        <w:t xml:space="preserve">'The </w:t>
      </w:r>
      <w:proofErr w:type="spellStart"/>
      <w:r w:rsidRPr="00DB31D4">
        <w:rPr>
          <w:sz w:val="16"/>
          <w:szCs w:val="16"/>
        </w:rPr>
        <w:t>other</w:t>
      </w:r>
      <w:proofErr w:type="spellEnd"/>
      <w:r w:rsidRPr="00DB31D4">
        <w:rPr>
          <w:sz w:val="16"/>
          <w:szCs w:val="16"/>
        </w:rPr>
        <w:t xml:space="preserve"> information </w:t>
      </w:r>
      <w:proofErr w:type="spellStart"/>
      <w:r w:rsidRPr="00DB31D4">
        <w:rPr>
          <w:sz w:val="16"/>
          <w:szCs w:val="16"/>
        </w:rPr>
        <w:t>consists</w:t>
      </w:r>
      <w:proofErr w:type="spellEnd"/>
      <w:r w:rsidRPr="00DB31D4">
        <w:rPr>
          <w:sz w:val="16"/>
          <w:szCs w:val="16"/>
        </w:rPr>
        <w:t xml:space="preserve"> of:  </w:t>
      </w:r>
    </w:p>
    <w:p w14:paraId="58247AFB" w14:textId="02F52FCD" w:rsidR="00B51A6C" w:rsidRPr="00DB31D4" w:rsidRDefault="00C37A69" w:rsidP="0045529B">
      <w:pPr>
        <w:pStyle w:val="Lijstalinea"/>
        <w:numPr>
          <w:ilvl w:val="0"/>
          <w:numId w:val="11"/>
        </w:numPr>
        <w:spacing w:after="1" w:line="168" w:lineRule="exact"/>
        <w:ind w:left="142" w:hanging="138"/>
        <w:rPr>
          <w:sz w:val="16"/>
          <w:szCs w:val="16"/>
        </w:rPr>
      </w:pPr>
      <w:proofErr w:type="spellStart"/>
      <w:r w:rsidRPr="00DB31D4">
        <w:rPr>
          <w:sz w:val="16"/>
          <w:szCs w:val="16"/>
        </w:rPr>
        <w:t>the</w:t>
      </w:r>
      <w:proofErr w:type="spellEnd"/>
      <w:r w:rsidRPr="00DB31D4">
        <w:rPr>
          <w:sz w:val="16"/>
          <w:szCs w:val="16"/>
        </w:rPr>
        <w:t xml:space="preserve"> management report; </w:t>
      </w:r>
    </w:p>
    <w:p w14:paraId="0A8EE02E" w14:textId="0CC9721E" w:rsidR="00B51A6C" w:rsidRPr="00BB1D7A" w:rsidRDefault="00C37A69" w:rsidP="0045529B">
      <w:pPr>
        <w:pStyle w:val="Lijstalinea"/>
        <w:numPr>
          <w:ilvl w:val="0"/>
          <w:numId w:val="11"/>
        </w:numPr>
        <w:spacing w:after="1" w:line="168" w:lineRule="exact"/>
        <w:ind w:left="142" w:hanging="138"/>
        <w:rPr>
          <w:sz w:val="16"/>
          <w:szCs w:val="16"/>
          <w:lang w:val="en-US"/>
        </w:rPr>
      </w:pPr>
      <w:r w:rsidRPr="00BB1D7A">
        <w:rPr>
          <w:sz w:val="16"/>
          <w:szCs w:val="16"/>
          <w:lang w:val="en-US"/>
        </w:rPr>
        <w:t xml:space="preserve">other information as required by Part 9 of Book 2 of the Dutch Civil Code; </w:t>
      </w:r>
    </w:p>
    <w:p w14:paraId="38FD165E" w14:textId="77777777" w:rsidR="0045529B" w:rsidRDefault="00C37A69" w:rsidP="0045529B">
      <w:pPr>
        <w:pStyle w:val="Lijstalinea"/>
        <w:numPr>
          <w:ilvl w:val="0"/>
          <w:numId w:val="11"/>
        </w:numPr>
        <w:spacing w:after="1" w:line="168" w:lineRule="exact"/>
        <w:ind w:left="142" w:hanging="138"/>
        <w:rPr>
          <w:sz w:val="16"/>
          <w:szCs w:val="16"/>
        </w:rPr>
      </w:pPr>
      <w:r w:rsidRPr="00DB31D4">
        <w:rPr>
          <w:sz w:val="16"/>
          <w:szCs w:val="16"/>
        </w:rPr>
        <w:t xml:space="preserve">... (opsomming van overige andere informatie).' </w:t>
      </w:r>
    </w:p>
    <w:p w14:paraId="263AF4E4" w14:textId="3C711F4A" w:rsidR="00B51A6C" w:rsidRPr="0045529B" w:rsidRDefault="00C37A69" w:rsidP="0045529B">
      <w:pPr>
        <w:spacing w:after="1" w:line="168" w:lineRule="exact"/>
        <w:ind w:left="4"/>
        <w:rPr>
          <w:sz w:val="16"/>
          <w:szCs w:val="16"/>
        </w:rPr>
      </w:pPr>
      <w:r w:rsidRPr="0045529B">
        <w:rPr>
          <w:sz w:val="16"/>
          <w:szCs w:val="16"/>
        </w:rPr>
        <w:t>Ongeacht een eventuele opsomming om andere informatie te identificeren kan andere informatie zelfstandig bestaan, los van het jaarverslag. Indien van toepassing is in de controleverklaring op te nemen: '</w:t>
      </w:r>
      <w:proofErr w:type="spellStart"/>
      <w:r w:rsidRPr="0045529B">
        <w:rPr>
          <w:sz w:val="16"/>
          <w:szCs w:val="16"/>
        </w:rPr>
        <w:t>Furthermore</w:t>
      </w:r>
      <w:proofErr w:type="spellEnd"/>
      <w:r w:rsidRPr="0045529B">
        <w:rPr>
          <w:sz w:val="16"/>
          <w:szCs w:val="16"/>
        </w:rPr>
        <w:t xml:space="preserve">, </w:t>
      </w:r>
      <w:proofErr w:type="spellStart"/>
      <w:r w:rsidRPr="0045529B">
        <w:rPr>
          <w:sz w:val="16"/>
          <w:szCs w:val="16"/>
        </w:rPr>
        <w:t>the</w:t>
      </w:r>
      <w:proofErr w:type="spellEnd"/>
      <w:r w:rsidRPr="0045529B">
        <w:rPr>
          <w:sz w:val="16"/>
          <w:szCs w:val="16"/>
        </w:rPr>
        <w:t xml:space="preserve"> </w:t>
      </w:r>
      <w:proofErr w:type="spellStart"/>
      <w:r w:rsidRPr="0045529B">
        <w:rPr>
          <w:sz w:val="16"/>
          <w:szCs w:val="16"/>
        </w:rPr>
        <w:t>other</w:t>
      </w:r>
      <w:proofErr w:type="spellEnd"/>
      <w:r w:rsidRPr="0045529B">
        <w:rPr>
          <w:sz w:val="16"/>
          <w:szCs w:val="16"/>
        </w:rPr>
        <w:t xml:space="preserve"> information </w:t>
      </w:r>
      <w:proofErr w:type="spellStart"/>
      <w:r w:rsidRPr="0045529B">
        <w:rPr>
          <w:sz w:val="16"/>
          <w:szCs w:val="16"/>
        </w:rPr>
        <w:t>consists</w:t>
      </w:r>
      <w:proofErr w:type="spellEnd"/>
      <w:r w:rsidRPr="0045529B">
        <w:rPr>
          <w:sz w:val="16"/>
          <w:szCs w:val="16"/>
        </w:rPr>
        <w:t xml:space="preserve"> of ...' (beschrijf de andere informatie die als zelfstandig document of documenten ter beschikking wordt gesteld).</w:t>
      </w:r>
    </w:p>
  </w:footnote>
  <w:footnote w:id="17">
    <w:p w14:paraId="3ED1A0CD" w14:textId="6759151F" w:rsidR="00B51A6C" w:rsidRPr="00DB31D4" w:rsidRDefault="00C37A69" w:rsidP="00392837">
      <w:pPr>
        <w:spacing w:after="1" w:line="168" w:lineRule="exact"/>
        <w:rPr>
          <w:sz w:val="16"/>
          <w:szCs w:val="16"/>
        </w:rPr>
      </w:pPr>
      <w:r w:rsidRPr="0045529B">
        <w:rPr>
          <w:sz w:val="16"/>
          <w:szCs w:val="16"/>
          <w:vertAlign w:val="superscript"/>
        </w:rPr>
        <w:t>17</w:t>
      </w:r>
      <w:r w:rsidR="00392837">
        <w:rPr>
          <w:sz w:val="16"/>
          <w:szCs w:val="16"/>
        </w:rPr>
        <w:t xml:space="preserve"> </w:t>
      </w:r>
      <w:r w:rsidRPr="00DB31D4">
        <w:rPr>
          <w:sz w:val="16"/>
          <w:szCs w:val="16"/>
        </w:rPr>
        <w:t xml:space="preserve">Terminologie laten aansluiten op die welke de entiteit hanteert en in voorkomende gevallen de tekst aanpassen wanneer in het stelsel van financiële verslaggeving de mogelijkheid van een vrijstelling van het </w:t>
      </w:r>
      <w:proofErr w:type="spellStart"/>
      <w:r w:rsidRPr="00DB31D4">
        <w:rPr>
          <w:sz w:val="16"/>
          <w:szCs w:val="16"/>
        </w:rPr>
        <w:t>bestuursverslag</w:t>
      </w:r>
      <w:proofErr w:type="spellEnd"/>
      <w:r w:rsidRPr="00DB31D4">
        <w:rPr>
          <w:sz w:val="16"/>
          <w:szCs w:val="16"/>
        </w:rPr>
        <w:t xml:space="preserve"> en de overige gegevens is opgenomen, bijvoorbeeld voor een kleine rechtspersoon in Titel 9 Boek 2 BW.</w:t>
      </w:r>
      <w:r w:rsidRPr="00DB31D4">
        <w:rPr>
          <w:sz w:val="16"/>
          <w:szCs w:val="16"/>
        </w:rPr>
        <w:cr/>
        <w:t>Passages met een verwijzing naar Titel 9 Boek 2 BW kunnen vervallen bij een vrijwillige controle of zijn aan te passen bij andere geldende wet- en regelgeving.</w:t>
      </w:r>
    </w:p>
  </w:footnote>
  <w:footnote w:id="18">
    <w:p w14:paraId="0B12A760" w14:textId="4E2A1E81" w:rsidR="00B51A6C" w:rsidRPr="00DB31D4" w:rsidRDefault="00C37A69" w:rsidP="00392837">
      <w:pPr>
        <w:spacing w:after="1" w:line="168" w:lineRule="exact"/>
        <w:rPr>
          <w:sz w:val="16"/>
          <w:szCs w:val="16"/>
        </w:rPr>
      </w:pPr>
      <w:r w:rsidRPr="0045529B">
        <w:rPr>
          <w:sz w:val="16"/>
          <w:szCs w:val="16"/>
          <w:vertAlign w:val="superscript"/>
        </w:rPr>
        <w:t>18</w:t>
      </w:r>
      <w:r w:rsidR="00392837">
        <w:rPr>
          <w:sz w:val="16"/>
          <w:szCs w:val="16"/>
        </w:rPr>
        <w:t xml:space="preserve"> </w:t>
      </w:r>
      <w:r w:rsidRPr="00DB31D4">
        <w:rPr>
          <w:sz w:val="16"/>
          <w:szCs w:val="16"/>
        </w:rPr>
        <w:t>Naargelang de situatie aan te passen, bijvoorbeeld 'The board'.</w:t>
      </w:r>
    </w:p>
  </w:footnote>
  <w:footnote w:id="19">
    <w:p w14:paraId="65ABCB9D" w14:textId="1C689078" w:rsidR="00B51A6C" w:rsidRPr="00DB31D4" w:rsidRDefault="00C37A69" w:rsidP="00392837">
      <w:pPr>
        <w:spacing w:after="1" w:line="168" w:lineRule="exact"/>
        <w:rPr>
          <w:sz w:val="16"/>
          <w:szCs w:val="16"/>
        </w:rPr>
      </w:pPr>
      <w:r w:rsidRPr="0045529B">
        <w:rPr>
          <w:sz w:val="16"/>
          <w:szCs w:val="16"/>
          <w:vertAlign w:val="superscript"/>
        </w:rPr>
        <w:t>19</w:t>
      </w:r>
      <w:r w:rsidR="00392837">
        <w:rPr>
          <w:sz w:val="16"/>
          <w:szCs w:val="16"/>
        </w:rPr>
        <w:t xml:space="preserve"> </w:t>
      </w:r>
      <w:r w:rsidRPr="00DB31D4">
        <w:rPr>
          <w:sz w:val="16"/>
          <w:szCs w:val="16"/>
        </w:rPr>
        <w:t>Indien van toepassing aan te vullen met andere geldende wet- en regelgeving, zoals WNT.</w:t>
      </w:r>
    </w:p>
  </w:footnote>
  <w:footnote w:id="20">
    <w:p w14:paraId="0AAF39A7" w14:textId="77B41E4A" w:rsidR="00B51A6C" w:rsidRPr="00DB31D4" w:rsidRDefault="00C37A69" w:rsidP="00392837">
      <w:pPr>
        <w:spacing w:after="1" w:line="168" w:lineRule="exact"/>
        <w:rPr>
          <w:sz w:val="16"/>
          <w:szCs w:val="16"/>
        </w:rPr>
      </w:pPr>
      <w:r w:rsidRPr="0045529B">
        <w:rPr>
          <w:sz w:val="16"/>
          <w:szCs w:val="16"/>
          <w:vertAlign w:val="superscript"/>
        </w:rPr>
        <w:t>20</w:t>
      </w:r>
      <w:r w:rsidR="00392837" w:rsidRPr="0045529B">
        <w:rPr>
          <w:sz w:val="16"/>
          <w:szCs w:val="16"/>
          <w:vertAlign w:val="superscript"/>
        </w:rPr>
        <w:t xml:space="preserve"> </w:t>
      </w:r>
      <w:r w:rsidRPr="00DB31D4">
        <w:rPr>
          <w:sz w:val="16"/>
          <w:szCs w:val="16"/>
        </w:rPr>
        <w:t xml:space="preserve">Naargelang de situatie aan te passen: trust, </w:t>
      </w:r>
      <w:proofErr w:type="spellStart"/>
      <w:r w:rsidRPr="00DB31D4">
        <w:rPr>
          <w:sz w:val="16"/>
          <w:szCs w:val="16"/>
        </w:rPr>
        <w:t>union</w:t>
      </w:r>
      <w:proofErr w:type="spellEnd"/>
      <w:r w:rsidRPr="00DB31D4">
        <w:rPr>
          <w:sz w:val="16"/>
          <w:szCs w:val="16"/>
        </w:rPr>
        <w:t>, foundation, enz., en eventueel ook de passage '</w:t>
      </w:r>
      <w:proofErr w:type="spellStart"/>
      <w:r w:rsidRPr="00DB31D4">
        <w:rPr>
          <w:sz w:val="16"/>
          <w:szCs w:val="16"/>
        </w:rPr>
        <w:t>the</w:t>
      </w:r>
      <w:proofErr w:type="spellEnd"/>
      <w:r w:rsidRPr="00DB31D4">
        <w:rPr>
          <w:sz w:val="16"/>
          <w:szCs w:val="16"/>
        </w:rPr>
        <w:t xml:space="preserve"> </w:t>
      </w:r>
      <w:proofErr w:type="spellStart"/>
      <w:r w:rsidRPr="00DB31D4">
        <w:rPr>
          <w:sz w:val="16"/>
          <w:szCs w:val="16"/>
        </w:rPr>
        <w:t>company's</w:t>
      </w:r>
      <w:proofErr w:type="spellEnd"/>
      <w:r w:rsidRPr="00DB31D4">
        <w:rPr>
          <w:sz w:val="16"/>
          <w:szCs w:val="16"/>
        </w:rPr>
        <w:t xml:space="preserve"> </w:t>
      </w:r>
      <w:proofErr w:type="spellStart"/>
      <w:r w:rsidRPr="00DB31D4">
        <w:rPr>
          <w:sz w:val="16"/>
          <w:szCs w:val="16"/>
        </w:rPr>
        <w:t>ability</w:t>
      </w:r>
      <w:proofErr w:type="spellEnd"/>
      <w:r w:rsidRPr="00DB31D4">
        <w:rPr>
          <w:sz w:val="16"/>
          <w:szCs w:val="16"/>
        </w:rPr>
        <w:t>'.</w:t>
      </w:r>
    </w:p>
  </w:footnote>
  <w:footnote w:id="21">
    <w:p w14:paraId="7F43798E" w14:textId="5BC6F146" w:rsidR="00B51A6C" w:rsidRPr="00DB31D4" w:rsidRDefault="00C37A69" w:rsidP="00392837">
      <w:pPr>
        <w:spacing w:after="1" w:line="168" w:lineRule="exact"/>
        <w:rPr>
          <w:sz w:val="16"/>
          <w:szCs w:val="16"/>
        </w:rPr>
      </w:pPr>
      <w:r w:rsidRPr="0045529B">
        <w:rPr>
          <w:sz w:val="16"/>
          <w:szCs w:val="16"/>
          <w:vertAlign w:val="superscript"/>
        </w:rPr>
        <w:t>21</w:t>
      </w:r>
      <w:r w:rsidR="00392837">
        <w:rPr>
          <w:sz w:val="16"/>
          <w:szCs w:val="16"/>
        </w:rPr>
        <w:t xml:space="preserve"> </w:t>
      </w:r>
      <w:r w:rsidRPr="00DB31D4">
        <w:rPr>
          <w:sz w:val="16"/>
          <w:szCs w:val="16"/>
        </w:rPr>
        <w:t xml:space="preserve">Naargelang de situatie aan te passen: trust, </w:t>
      </w:r>
      <w:proofErr w:type="spellStart"/>
      <w:r w:rsidRPr="00DB31D4">
        <w:rPr>
          <w:sz w:val="16"/>
          <w:szCs w:val="16"/>
        </w:rPr>
        <w:t>union</w:t>
      </w:r>
      <w:proofErr w:type="spellEnd"/>
      <w:r w:rsidRPr="00DB31D4">
        <w:rPr>
          <w:sz w:val="16"/>
          <w:szCs w:val="16"/>
        </w:rPr>
        <w:t>, foundation, enz.</w:t>
      </w:r>
    </w:p>
  </w:footnote>
  <w:footnote w:id="22">
    <w:p w14:paraId="5A9B3E23" w14:textId="49AEE445" w:rsidR="00B51A6C" w:rsidRPr="00DB31D4" w:rsidRDefault="00C37A69" w:rsidP="00392837">
      <w:pPr>
        <w:spacing w:after="1" w:line="168" w:lineRule="exact"/>
        <w:rPr>
          <w:sz w:val="16"/>
          <w:szCs w:val="16"/>
        </w:rPr>
      </w:pPr>
      <w:r w:rsidRPr="0045529B">
        <w:rPr>
          <w:sz w:val="16"/>
          <w:szCs w:val="16"/>
          <w:vertAlign w:val="superscript"/>
        </w:rPr>
        <w:t>22</w:t>
      </w:r>
      <w:r w:rsidR="00392837">
        <w:rPr>
          <w:sz w:val="16"/>
          <w:szCs w:val="16"/>
        </w:rPr>
        <w:t xml:space="preserve"> </w:t>
      </w:r>
      <w:r w:rsidRPr="00DB31D4">
        <w:rPr>
          <w:sz w:val="16"/>
          <w:szCs w:val="16"/>
        </w:rPr>
        <w:t>Naargelang de situatie aan te passen.</w:t>
      </w:r>
    </w:p>
  </w:footnote>
  <w:footnote w:id="23">
    <w:p w14:paraId="10ABA0CE" w14:textId="2A656F13" w:rsidR="00B51A6C" w:rsidRPr="00DB31D4" w:rsidRDefault="00C37A69" w:rsidP="00392837">
      <w:pPr>
        <w:spacing w:after="1" w:line="168" w:lineRule="exact"/>
        <w:rPr>
          <w:sz w:val="16"/>
          <w:szCs w:val="16"/>
        </w:rPr>
      </w:pPr>
      <w:r w:rsidRPr="0045529B">
        <w:rPr>
          <w:sz w:val="16"/>
          <w:szCs w:val="16"/>
          <w:vertAlign w:val="superscript"/>
        </w:rPr>
        <w:t>23</w:t>
      </w:r>
      <w:r w:rsidR="00392837">
        <w:rPr>
          <w:sz w:val="16"/>
          <w:szCs w:val="16"/>
        </w:rPr>
        <w:t xml:space="preserve"> </w:t>
      </w:r>
      <w:r w:rsidRPr="00DB31D4">
        <w:rPr>
          <w:sz w:val="16"/>
          <w:szCs w:val="16"/>
        </w:rPr>
        <w:t xml:space="preserve">Naargelang de situatie aan te passen: </w:t>
      </w:r>
      <w:proofErr w:type="spellStart"/>
      <w:r w:rsidRPr="00DB31D4">
        <w:rPr>
          <w:sz w:val="16"/>
          <w:szCs w:val="16"/>
        </w:rPr>
        <w:t>trust's</w:t>
      </w:r>
      <w:proofErr w:type="spellEnd"/>
      <w:r w:rsidRPr="00DB31D4">
        <w:rPr>
          <w:sz w:val="16"/>
          <w:szCs w:val="16"/>
        </w:rPr>
        <w:t xml:space="preserve">, </w:t>
      </w:r>
      <w:proofErr w:type="spellStart"/>
      <w:r w:rsidRPr="00DB31D4">
        <w:rPr>
          <w:sz w:val="16"/>
          <w:szCs w:val="16"/>
        </w:rPr>
        <w:t>union's</w:t>
      </w:r>
      <w:proofErr w:type="spellEnd"/>
      <w:r w:rsidRPr="00DB31D4">
        <w:rPr>
          <w:sz w:val="16"/>
          <w:szCs w:val="16"/>
        </w:rPr>
        <w:t xml:space="preserve">, </w:t>
      </w:r>
      <w:proofErr w:type="spellStart"/>
      <w:r w:rsidRPr="00DB31D4">
        <w:rPr>
          <w:sz w:val="16"/>
          <w:szCs w:val="16"/>
        </w:rPr>
        <w:t>foundation's</w:t>
      </w:r>
      <w:proofErr w:type="spellEnd"/>
      <w:r w:rsidRPr="00DB31D4">
        <w:rPr>
          <w:sz w:val="16"/>
          <w:szCs w:val="16"/>
        </w:rPr>
        <w:t>, enz.</w:t>
      </w:r>
    </w:p>
  </w:footnote>
  <w:footnote w:id="24">
    <w:p w14:paraId="2344BB61" w14:textId="34D9C039" w:rsidR="00B51A6C" w:rsidRPr="00DB31D4" w:rsidRDefault="00C37A69" w:rsidP="00392837">
      <w:pPr>
        <w:spacing w:after="1" w:line="168" w:lineRule="exact"/>
        <w:rPr>
          <w:sz w:val="16"/>
          <w:szCs w:val="16"/>
        </w:rPr>
      </w:pPr>
      <w:r w:rsidRPr="0045529B">
        <w:rPr>
          <w:sz w:val="16"/>
          <w:szCs w:val="16"/>
          <w:vertAlign w:val="superscript"/>
        </w:rPr>
        <w:t>24</w:t>
      </w:r>
      <w:r w:rsidR="00392837">
        <w:rPr>
          <w:sz w:val="16"/>
          <w:szCs w:val="16"/>
        </w:rPr>
        <w:t xml:space="preserve"> </w:t>
      </w:r>
      <w:r w:rsidRPr="00DB31D4">
        <w:rPr>
          <w:sz w:val="16"/>
          <w:szCs w:val="16"/>
        </w:rPr>
        <w:t>Deze passage alleen laten vervallen wanneer de continuïteitsveronderstelling geen rol speelt in het van toepassing zijnde verslaggevingsstelsel.</w:t>
      </w:r>
    </w:p>
  </w:footnote>
  <w:footnote w:id="25">
    <w:p w14:paraId="1ED54917" w14:textId="79EB25E4" w:rsidR="00B51A6C" w:rsidRPr="00DB31D4" w:rsidRDefault="00C37A69" w:rsidP="00392837">
      <w:pPr>
        <w:spacing w:after="1" w:line="168" w:lineRule="exact"/>
        <w:rPr>
          <w:sz w:val="16"/>
          <w:szCs w:val="16"/>
        </w:rPr>
      </w:pPr>
      <w:r w:rsidRPr="0045529B">
        <w:rPr>
          <w:sz w:val="16"/>
          <w:szCs w:val="16"/>
          <w:vertAlign w:val="superscript"/>
        </w:rPr>
        <w:t>25</w:t>
      </w:r>
      <w:r w:rsidR="00392837" w:rsidRPr="0045529B">
        <w:rPr>
          <w:sz w:val="16"/>
          <w:szCs w:val="16"/>
          <w:vertAlign w:val="superscript"/>
        </w:rPr>
        <w:t xml:space="preserve"> </w:t>
      </w:r>
      <w:r w:rsidRPr="00DB31D4">
        <w:rPr>
          <w:sz w:val="16"/>
          <w:szCs w:val="16"/>
        </w:rPr>
        <w:t>Uitgezonderd bij XBRL-</w:t>
      </w:r>
      <w:proofErr w:type="spellStart"/>
      <w:r w:rsidRPr="00DB31D4">
        <w:rPr>
          <w:sz w:val="16"/>
          <w:szCs w:val="16"/>
        </w:rPr>
        <w:t>instances</w:t>
      </w:r>
      <w:proofErr w:type="spellEnd"/>
      <w:r w:rsidRPr="00DB31D4">
        <w:rPr>
          <w:sz w:val="16"/>
          <w:szCs w:val="16"/>
        </w:rPr>
        <w:t>:</w:t>
      </w:r>
      <w:r w:rsidRPr="00DB31D4">
        <w:rPr>
          <w:sz w:val="16"/>
          <w:szCs w:val="16"/>
        </w:rPr>
        <w:cr/>
        <w:t xml:space="preserve">De tekst hierna, vanaf de laatste alinea vóór de </w:t>
      </w:r>
      <w:proofErr w:type="spellStart"/>
      <w:r w:rsidRPr="00DB31D4">
        <w:rPr>
          <w:sz w:val="16"/>
          <w:szCs w:val="16"/>
        </w:rPr>
        <w:t>bulletsgewijze</w:t>
      </w:r>
      <w:proofErr w:type="spellEnd"/>
      <w:r w:rsidRPr="00DB31D4">
        <w:rPr>
          <w:sz w:val="16"/>
          <w:szCs w:val="16"/>
        </w:rPr>
        <w:t xml:space="preserve"> opsomming, kan worden weggelaten bij verwijzing naar de website van de NBA waar deze tekst wordt opgenomen of naar een bijlage waarin deze tekst wordt opgenomen.</w:t>
      </w:r>
    </w:p>
  </w:footnote>
  <w:footnote w:id="26">
    <w:p w14:paraId="7761AA74" w14:textId="40639788" w:rsidR="00B51A6C" w:rsidRPr="00DB31D4" w:rsidRDefault="00C37A69" w:rsidP="00392837">
      <w:pPr>
        <w:spacing w:after="1" w:line="168" w:lineRule="exact"/>
        <w:rPr>
          <w:sz w:val="16"/>
          <w:szCs w:val="16"/>
        </w:rPr>
      </w:pPr>
      <w:r w:rsidRPr="0045529B">
        <w:rPr>
          <w:sz w:val="16"/>
          <w:szCs w:val="16"/>
          <w:vertAlign w:val="superscript"/>
        </w:rPr>
        <w:t>26</w:t>
      </w:r>
      <w:r w:rsidR="00392837">
        <w:rPr>
          <w:sz w:val="16"/>
          <w:szCs w:val="16"/>
        </w:rPr>
        <w:t xml:space="preserve"> </w:t>
      </w:r>
      <w:r w:rsidRPr="00DB31D4">
        <w:rPr>
          <w:sz w:val="16"/>
          <w:szCs w:val="16"/>
        </w:rPr>
        <w:t xml:space="preserve">Naargelang de situatie aan te passen: trust, </w:t>
      </w:r>
      <w:proofErr w:type="spellStart"/>
      <w:r w:rsidRPr="00DB31D4">
        <w:rPr>
          <w:sz w:val="16"/>
          <w:szCs w:val="16"/>
        </w:rPr>
        <w:t>union</w:t>
      </w:r>
      <w:proofErr w:type="spellEnd"/>
      <w:r w:rsidRPr="00DB31D4">
        <w:rPr>
          <w:sz w:val="16"/>
          <w:szCs w:val="16"/>
        </w:rPr>
        <w:t>, foundation, enz.</w:t>
      </w:r>
    </w:p>
  </w:footnote>
  <w:footnote w:id="27">
    <w:p w14:paraId="78D51FB2" w14:textId="73EA3954" w:rsidR="00B51A6C" w:rsidRPr="00DB31D4" w:rsidRDefault="00C37A69" w:rsidP="00392837">
      <w:pPr>
        <w:spacing w:after="1" w:line="168" w:lineRule="exact"/>
        <w:rPr>
          <w:sz w:val="16"/>
          <w:szCs w:val="16"/>
        </w:rPr>
      </w:pPr>
      <w:r w:rsidRPr="0045529B">
        <w:rPr>
          <w:sz w:val="16"/>
          <w:szCs w:val="16"/>
          <w:vertAlign w:val="superscript"/>
        </w:rPr>
        <w:t>27</w:t>
      </w:r>
      <w:r w:rsidR="00392837" w:rsidRPr="0045529B">
        <w:rPr>
          <w:sz w:val="16"/>
          <w:szCs w:val="16"/>
          <w:vertAlign w:val="superscript"/>
        </w:rPr>
        <w:t xml:space="preserve"> </w:t>
      </w:r>
      <w:r w:rsidRPr="00DB31D4">
        <w:rPr>
          <w:sz w:val="16"/>
          <w:szCs w:val="16"/>
        </w:rPr>
        <w:t>De tekst van deze alinea aanpassen bij een controleobject op liquidatiebasis en alleen laten vervallen wanneer de continuïteitsveronderstelling geen rol speelt in het van toepassing zijnde verslaggevingsstelsel.  Termen als 'company' zijn naargelang de situatie aan te passen.</w:t>
      </w:r>
    </w:p>
  </w:footnote>
  <w:footnote w:id="28">
    <w:p w14:paraId="232DDDBC" w14:textId="0EFA8528" w:rsidR="00B51A6C" w:rsidRPr="00DB31D4" w:rsidRDefault="00C37A69" w:rsidP="00392837">
      <w:pPr>
        <w:spacing w:after="1" w:line="168" w:lineRule="exact"/>
        <w:rPr>
          <w:sz w:val="16"/>
          <w:szCs w:val="16"/>
        </w:rPr>
      </w:pPr>
      <w:r w:rsidRPr="0045529B">
        <w:rPr>
          <w:sz w:val="16"/>
          <w:szCs w:val="16"/>
          <w:vertAlign w:val="superscript"/>
        </w:rPr>
        <w:t>28</w:t>
      </w:r>
      <w:r w:rsidR="00392837" w:rsidRPr="0045529B">
        <w:rPr>
          <w:sz w:val="16"/>
          <w:szCs w:val="16"/>
          <w:vertAlign w:val="superscript"/>
        </w:rPr>
        <w:t xml:space="preserve"> </w:t>
      </w:r>
      <w:r w:rsidRPr="00DB31D4">
        <w:rPr>
          <w:sz w:val="16"/>
          <w:szCs w:val="16"/>
        </w:rPr>
        <w:t>Deze passage kan vervallen wanneer geen sprake is van een groepscontrole zoals gedefinieerd in Standaard 600.</w:t>
      </w:r>
    </w:p>
  </w:footnote>
  <w:footnote w:id="29">
    <w:p w14:paraId="31A048B1" w14:textId="057356A0" w:rsidR="00B51A6C" w:rsidRPr="00DB31D4" w:rsidRDefault="00C37A69" w:rsidP="00392837">
      <w:pPr>
        <w:spacing w:after="1" w:line="168" w:lineRule="exact"/>
        <w:rPr>
          <w:sz w:val="16"/>
          <w:szCs w:val="16"/>
        </w:rPr>
      </w:pPr>
      <w:r w:rsidRPr="0045529B">
        <w:rPr>
          <w:sz w:val="16"/>
          <w:szCs w:val="16"/>
          <w:vertAlign w:val="superscript"/>
        </w:rPr>
        <w:t>29</w:t>
      </w:r>
      <w:r w:rsidR="00392837" w:rsidRPr="0045529B">
        <w:rPr>
          <w:sz w:val="16"/>
          <w:szCs w:val="16"/>
          <w:vertAlign w:val="superscript"/>
        </w:rPr>
        <w:t xml:space="preserve"> </w:t>
      </w:r>
      <w:r w:rsidRPr="00DB31D4">
        <w:rPr>
          <w:sz w:val="16"/>
          <w:szCs w:val="16"/>
        </w:rPr>
        <w:t>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5D0300"/>
    <w:multiLevelType w:val="hybridMultilevel"/>
    <w:tmpl w:val="15024E76"/>
    <w:lvl w:ilvl="0" w:tplc="94726398">
      <w:start w:val="1"/>
      <w:numFmt w:val="decimal"/>
      <w:lvlText w:val="%1"/>
      <w:lvlJc w:val="left"/>
      <w:pPr>
        <w:ind w:left="0"/>
      </w:pPr>
      <w:rPr>
        <w:rFonts w:hint="default"/>
      </w:rPr>
    </w:lvl>
    <w:lvl w:ilvl="1" w:tplc="953A788C">
      <w:numFmt w:val="decimal"/>
      <w:lvlText w:val=""/>
      <w:lvlJc w:val="left"/>
    </w:lvl>
    <w:lvl w:ilvl="2" w:tplc="0D362268">
      <w:numFmt w:val="decimal"/>
      <w:lvlText w:val=""/>
      <w:lvlJc w:val="left"/>
    </w:lvl>
    <w:lvl w:ilvl="3" w:tplc="3E6C2F1A">
      <w:numFmt w:val="decimal"/>
      <w:lvlText w:val=""/>
      <w:lvlJc w:val="left"/>
    </w:lvl>
    <w:lvl w:ilvl="4" w:tplc="83DC0ADC">
      <w:numFmt w:val="decimal"/>
      <w:lvlText w:val=""/>
      <w:lvlJc w:val="left"/>
    </w:lvl>
    <w:lvl w:ilvl="5" w:tplc="E6E0D618">
      <w:numFmt w:val="decimal"/>
      <w:lvlText w:val=""/>
      <w:lvlJc w:val="left"/>
    </w:lvl>
    <w:lvl w:ilvl="6" w:tplc="DDFE13CC">
      <w:numFmt w:val="decimal"/>
      <w:lvlText w:val=""/>
      <w:lvlJc w:val="left"/>
    </w:lvl>
    <w:lvl w:ilvl="7" w:tplc="FF364C3A">
      <w:numFmt w:val="decimal"/>
      <w:lvlText w:val=""/>
      <w:lvlJc w:val="left"/>
    </w:lvl>
    <w:lvl w:ilvl="8" w:tplc="C5504414">
      <w:numFmt w:val="decimal"/>
      <w:lvlText w:val=""/>
      <w:lvlJc w:val="left"/>
    </w:lvl>
  </w:abstractNum>
  <w:abstractNum w:abstractNumId="1" w15:restartNumberingAfterBreak="0">
    <w:nsid w:val="9E5D0300"/>
    <w:multiLevelType w:val="hybridMultilevel"/>
    <w:tmpl w:val="9F5D0300"/>
    <w:lvl w:ilvl="0" w:tplc="A05D0300">
      <w:start w:val="1"/>
      <w:numFmt w:val="bullet"/>
      <w:lvlText w:val="-"/>
      <w:lvlJc w:val="left"/>
      <w:pPr>
        <w:ind w:left="0"/>
      </w:pPr>
      <w:rPr>
        <w:sz w:val="18"/>
      </w:rPr>
    </w:lvl>
    <w:lvl w:ilvl="1" w:tplc="96164978">
      <w:numFmt w:val="decimal"/>
      <w:lvlText w:val=""/>
      <w:lvlJc w:val="left"/>
    </w:lvl>
    <w:lvl w:ilvl="2" w:tplc="08E4597C">
      <w:numFmt w:val="decimal"/>
      <w:lvlText w:val=""/>
      <w:lvlJc w:val="left"/>
    </w:lvl>
    <w:lvl w:ilvl="3" w:tplc="5372B1C8">
      <w:numFmt w:val="decimal"/>
      <w:lvlText w:val=""/>
      <w:lvlJc w:val="left"/>
    </w:lvl>
    <w:lvl w:ilvl="4" w:tplc="FC969156">
      <w:numFmt w:val="decimal"/>
      <w:lvlText w:val=""/>
      <w:lvlJc w:val="left"/>
    </w:lvl>
    <w:lvl w:ilvl="5" w:tplc="200020E8">
      <w:numFmt w:val="decimal"/>
      <w:lvlText w:val=""/>
      <w:lvlJc w:val="left"/>
    </w:lvl>
    <w:lvl w:ilvl="6" w:tplc="A67C7DAC">
      <w:numFmt w:val="decimal"/>
      <w:lvlText w:val=""/>
      <w:lvlJc w:val="left"/>
    </w:lvl>
    <w:lvl w:ilvl="7" w:tplc="C8249A8E">
      <w:numFmt w:val="decimal"/>
      <w:lvlText w:val=""/>
      <w:lvlJc w:val="left"/>
    </w:lvl>
    <w:lvl w:ilvl="8" w:tplc="E02C9B76">
      <w:numFmt w:val="decimal"/>
      <w:lvlText w:val=""/>
      <w:lvlJc w:val="left"/>
    </w:lvl>
  </w:abstractNum>
  <w:abstractNum w:abstractNumId="2" w15:restartNumberingAfterBreak="0">
    <w:nsid w:val="A15D0300"/>
    <w:multiLevelType w:val="hybridMultilevel"/>
    <w:tmpl w:val="A25D0300"/>
    <w:lvl w:ilvl="0" w:tplc="A35D0300">
      <w:start w:val="1"/>
      <w:numFmt w:val="bullet"/>
      <w:lvlText w:val="-"/>
      <w:lvlJc w:val="left"/>
      <w:pPr>
        <w:ind w:left="0"/>
      </w:pPr>
      <w:rPr>
        <w:sz w:val="18"/>
      </w:rPr>
    </w:lvl>
    <w:lvl w:ilvl="1" w:tplc="FE06E9E0">
      <w:numFmt w:val="decimal"/>
      <w:lvlText w:val=""/>
      <w:lvlJc w:val="left"/>
    </w:lvl>
    <w:lvl w:ilvl="2" w:tplc="EFE26652">
      <w:numFmt w:val="decimal"/>
      <w:lvlText w:val=""/>
      <w:lvlJc w:val="left"/>
    </w:lvl>
    <w:lvl w:ilvl="3" w:tplc="DB8C1BBE">
      <w:numFmt w:val="decimal"/>
      <w:lvlText w:val=""/>
      <w:lvlJc w:val="left"/>
    </w:lvl>
    <w:lvl w:ilvl="4" w:tplc="B058D204">
      <w:numFmt w:val="decimal"/>
      <w:lvlText w:val=""/>
      <w:lvlJc w:val="left"/>
    </w:lvl>
    <w:lvl w:ilvl="5" w:tplc="6FFCB658">
      <w:numFmt w:val="decimal"/>
      <w:lvlText w:val=""/>
      <w:lvlJc w:val="left"/>
    </w:lvl>
    <w:lvl w:ilvl="6" w:tplc="E7B6EDE6">
      <w:numFmt w:val="decimal"/>
      <w:lvlText w:val=""/>
      <w:lvlJc w:val="left"/>
    </w:lvl>
    <w:lvl w:ilvl="7" w:tplc="4C0E0288">
      <w:numFmt w:val="decimal"/>
      <w:lvlText w:val=""/>
      <w:lvlJc w:val="left"/>
    </w:lvl>
    <w:lvl w:ilvl="8" w:tplc="8896469C">
      <w:numFmt w:val="decimal"/>
      <w:lvlText w:val=""/>
      <w:lvlJc w:val="left"/>
    </w:lvl>
  </w:abstractNum>
  <w:abstractNum w:abstractNumId="3" w15:restartNumberingAfterBreak="0">
    <w:nsid w:val="A45D0300"/>
    <w:multiLevelType w:val="hybridMultilevel"/>
    <w:tmpl w:val="A55D0300"/>
    <w:lvl w:ilvl="0" w:tplc="A65D0300">
      <w:start w:val="1"/>
      <w:numFmt w:val="bullet"/>
      <w:lvlText w:val="-"/>
      <w:lvlJc w:val="left"/>
      <w:pPr>
        <w:ind w:left="0"/>
      </w:pPr>
      <w:rPr>
        <w:sz w:val="18"/>
      </w:rPr>
    </w:lvl>
    <w:lvl w:ilvl="1" w:tplc="67220F88">
      <w:numFmt w:val="decimal"/>
      <w:lvlText w:val=""/>
      <w:lvlJc w:val="left"/>
    </w:lvl>
    <w:lvl w:ilvl="2" w:tplc="17989F70">
      <w:numFmt w:val="decimal"/>
      <w:lvlText w:val=""/>
      <w:lvlJc w:val="left"/>
    </w:lvl>
    <w:lvl w:ilvl="3" w:tplc="F9164476">
      <w:numFmt w:val="decimal"/>
      <w:lvlText w:val=""/>
      <w:lvlJc w:val="left"/>
    </w:lvl>
    <w:lvl w:ilvl="4" w:tplc="D49E29DA">
      <w:numFmt w:val="decimal"/>
      <w:lvlText w:val=""/>
      <w:lvlJc w:val="left"/>
    </w:lvl>
    <w:lvl w:ilvl="5" w:tplc="1E365104">
      <w:numFmt w:val="decimal"/>
      <w:lvlText w:val=""/>
      <w:lvlJc w:val="left"/>
    </w:lvl>
    <w:lvl w:ilvl="6" w:tplc="8F4A7168">
      <w:numFmt w:val="decimal"/>
      <w:lvlText w:val=""/>
      <w:lvlJc w:val="left"/>
    </w:lvl>
    <w:lvl w:ilvl="7" w:tplc="0F663486">
      <w:numFmt w:val="decimal"/>
      <w:lvlText w:val=""/>
      <w:lvlJc w:val="left"/>
    </w:lvl>
    <w:lvl w:ilvl="8" w:tplc="4B846446">
      <w:numFmt w:val="decimal"/>
      <w:lvlText w:val=""/>
      <w:lvlJc w:val="left"/>
    </w:lvl>
  </w:abstractNum>
  <w:abstractNum w:abstractNumId="4" w15:restartNumberingAfterBreak="0">
    <w:nsid w:val="A75D0300"/>
    <w:multiLevelType w:val="hybridMultilevel"/>
    <w:tmpl w:val="A85D0300"/>
    <w:lvl w:ilvl="0" w:tplc="A95D0300">
      <w:start w:val="1"/>
      <w:numFmt w:val="bullet"/>
      <w:lvlText w:val="-"/>
      <w:lvlJc w:val="left"/>
      <w:pPr>
        <w:ind w:left="0"/>
      </w:pPr>
      <w:rPr>
        <w:sz w:val="18"/>
      </w:rPr>
    </w:lvl>
    <w:lvl w:ilvl="1" w:tplc="75CC6F98">
      <w:numFmt w:val="decimal"/>
      <w:lvlText w:val=""/>
      <w:lvlJc w:val="left"/>
    </w:lvl>
    <w:lvl w:ilvl="2" w:tplc="88A463FE">
      <w:numFmt w:val="decimal"/>
      <w:lvlText w:val=""/>
      <w:lvlJc w:val="left"/>
    </w:lvl>
    <w:lvl w:ilvl="3" w:tplc="8C728B30">
      <w:numFmt w:val="decimal"/>
      <w:lvlText w:val=""/>
      <w:lvlJc w:val="left"/>
    </w:lvl>
    <w:lvl w:ilvl="4" w:tplc="126C3C3C">
      <w:numFmt w:val="decimal"/>
      <w:lvlText w:val=""/>
      <w:lvlJc w:val="left"/>
    </w:lvl>
    <w:lvl w:ilvl="5" w:tplc="36EC6D88">
      <w:numFmt w:val="decimal"/>
      <w:lvlText w:val=""/>
      <w:lvlJc w:val="left"/>
    </w:lvl>
    <w:lvl w:ilvl="6" w:tplc="5D62CD3E">
      <w:numFmt w:val="decimal"/>
      <w:lvlText w:val=""/>
      <w:lvlJc w:val="left"/>
    </w:lvl>
    <w:lvl w:ilvl="7" w:tplc="4AD8AFBA">
      <w:numFmt w:val="decimal"/>
      <w:lvlText w:val=""/>
      <w:lvlJc w:val="left"/>
    </w:lvl>
    <w:lvl w:ilvl="8" w:tplc="EC285746">
      <w:numFmt w:val="decimal"/>
      <w:lvlText w:val=""/>
      <w:lvlJc w:val="left"/>
    </w:lvl>
  </w:abstractNum>
  <w:abstractNum w:abstractNumId="5" w15:restartNumberingAfterBreak="0">
    <w:nsid w:val="AA5D0300"/>
    <w:multiLevelType w:val="hybridMultilevel"/>
    <w:tmpl w:val="AB5D0300"/>
    <w:lvl w:ilvl="0" w:tplc="AC5D0300">
      <w:start w:val="1"/>
      <w:numFmt w:val="bullet"/>
      <w:lvlText w:val="-"/>
      <w:lvlJc w:val="left"/>
      <w:pPr>
        <w:ind w:left="0"/>
      </w:pPr>
      <w:rPr>
        <w:sz w:val="18"/>
      </w:rPr>
    </w:lvl>
    <w:lvl w:ilvl="1" w:tplc="D35272F6">
      <w:numFmt w:val="decimal"/>
      <w:lvlText w:val=""/>
      <w:lvlJc w:val="left"/>
    </w:lvl>
    <w:lvl w:ilvl="2" w:tplc="CBCAAA74">
      <w:numFmt w:val="decimal"/>
      <w:lvlText w:val=""/>
      <w:lvlJc w:val="left"/>
    </w:lvl>
    <w:lvl w:ilvl="3" w:tplc="93162230">
      <w:numFmt w:val="decimal"/>
      <w:lvlText w:val=""/>
      <w:lvlJc w:val="left"/>
    </w:lvl>
    <w:lvl w:ilvl="4" w:tplc="E6DC21A2">
      <w:numFmt w:val="decimal"/>
      <w:lvlText w:val=""/>
      <w:lvlJc w:val="left"/>
    </w:lvl>
    <w:lvl w:ilvl="5" w:tplc="A01CEEA2">
      <w:numFmt w:val="decimal"/>
      <w:lvlText w:val=""/>
      <w:lvlJc w:val="left"/>
    </w:lvl>
    <w:lvl w:ilvl="6" w:tplc="69CACC82">
      <w:numFmt w:val="decimal"/>
      <w:lvlText w:val=""/>
      <w:lvlJc w:val="left"/>
    </w:lvl>
    <w:lvl w:ilvl="7" w:tplc="2DD6D72C">
      <w:numFmt w:val="decimal"/>
      <w:lvlText w:val=""/>
      <w:lvlJc w:val="left"/>
    </w:lvl>
    <w:lvl w:ilvl="8" w:tplc="394C60E4">
      <w:numFmt w:val="decimal"/>
      <w:lvlText w:val=""/>
      <w:lvlJc w:val="left"/>
    </w:lvl>
  </w:abstractNum>
  <w:abstractNum w:abstractNumId="6" w15:restartNumberingAfterBreak="0">
    <w:nsid w:val="AD5D0300"/>
    <w:multiLevelType w:val="hybridMultilevel"/>
    <w:tmpl w:val="AE5D0300"/>
    <w:lvl w:ilvl="0" w:tplc="AF5D0300">
      <w:start w:val="1"/>
      <w:numFmt w:val="bullet"/>
      <w:lvlText w:val="-"/>
      <w:lvlJc w:val="left"/>
      <w:pPr>
        <w:ind w:left="0"/>
      </w:pPr>
      <w:rPr>
        <w:sz w:val="18"/>
      </w:rPr>
    </w:lvl>
    <w:lvl w:ilvl="1" w:tplc="5EC8B5E8">
      <w:numFmt w:val="decimal"/>
      <w:lvlText w:val=""/>
      <w:lvlJc w:val="left"/>
    </w:lvl>
    <w:lvl w:ilvl="2" w:tplc="148483B8">
      <w:numFmt w:val="decimal"/>
      <w:lvlText w:val=""/>
      <w:lvlJc w:val="left"/>
    </w:lvl>
    <w:lvl w:ilvl="3" w:tplc="A3765D70">
      <w:numFmt w:val="decimal"/>
      <w:lvlText w:val=""/>
      <w:lvlJc w:val="left"/>
    </w:lvl>
    <w:lvl w:ilvl="4" w:tplc="EB583602">
      <w:numFmt w:val="decimal"/>
      <w:lvlText w:val=""/>
      <w:lvlJc w:val="left"/>
    </w:lvl>
    <w:lvl w:ilvl="5" w:tplc="7C507DD4">
      <w:numFmt w:val="decimal"/>
      <w:lvlText w:val=""/>
      <w:lvlJc w:val="left"/>
    </w:lvl>
    <w:lvl w:ilvl="6" w:tplc="8E280A98">
      <w:numFmt w:val="decimal"/>
      <w:lvlText w:val=""/>
      <w:lvlJc w:val="left"/>
    </w:lvl>
    <w:lvl w:ilvl="7" w:tplc="A678C128">
      <w:numFmt w:val="decimal"/>
      <w:lvlText w:val=""/>
      <w:lvlJc w:val="left"/>
    </w:lvl>
    <w:lvl w:ilvl="8" w:tplc="A65CBE10">
      <w:numFmt w:val="decimal"/>
      <w:lvlText w:val=""/>
      <w:lvlJc w:val="left"/>
    </w:lvl>
  </w:abstractNum>
  <w:abstractNum w:abstractNumId="7" w15:restartNumberingAfterBreak="0">
    <w:nsid w:val="194A5A12"/>
    <w:multiLevelType w:val="hybridMultilevel"/>
    <w:tmpl w:val="75A0E4CC"/>
    <w:lvl w:ilvl="0" w:tplc="04130001">
      <w:start w:val="1"/>
      <w:numFmt w:val="bullet"/>
      <w:lvlText w:val=""/>
      <w:lvlJc w:val="left"/>
      <w:pPr>
        <w:ind w:left="926" w:hanging="360"/>
      </w:pPr>
      <w:rPr>
        <w:rFonts w:ascii="Symbol" w:hAnsi="Symbol" w:hint="default"/>
      </w:rPr>
    </w:lvl>
    <w:lvl w:ilvl="1" w:tplc="04130003" w:tentative="1">
      <w:start w:val="1"/>
      <w:numFmt w:val="bullet"/>
      <w:lvlText w:val="o"/>
      <w:lvlJc w:val="left"/>
      <w:pPr>
        <w:ind w:left="1646" w:hanging="360"/>
      </w:pPr>
      <w:rPr>
        <w:rFonts w:ascii="Courier New" w:hAnsi="Courier New" w:cs="Courier New" w:hint="default"/>
      </w:rPr>
    </w:lvl>
    <w:lvl w:ilvl="2" w:tplc="04130005" w:tentative="1">
      <w:start w:val="1"/>
      <w:numFmt w:val="bullet"/>
      <w:lvlText w:val=""/>
      <w:lvlJc w:val="left"/>
      <w:pPr>
        <w:ind w:left="2366" w:hanging="360"/>
      </w:pPr>
      <w:rPr>
        <w:rFonts w:ascii="Wingdings" w:hAnsi="Wingdings" w:hint="default"/>
      </w:rPr>
    </w:lvl>
    <w:lvl w:ilvl="3" w:tplc="04130001" w:tentative="1">
      <w:start w:val="1"/>
      <w:numFmt w:val="bullet"/>
      <w:lvlText w:val=""/>
      <w:lvlJc w:val="left"/>
      <w:pPr>
        <w:ind w:left="3086" w:hanging="360"/>
      </w:pPr>
      <w:rPr>
        <w:rFonts w:ascii="Symbol" w:hAnsi="Symbol" w:hint="default"/>
      </w:rPr>
    </w:lvl>
    <w:lvl w:ilvl="4" w:tplc="04130003" w:tentative="1">
      <w:start w:val="1"/>
      <w:numFmt w:val="bullet"/>
      <w:lvlText w:val="o"/>
      <w:lvlJc w:val="left"/>
      <w:pPr>
        <w:ind w:left="3806" w:hanging="360"/>
      </w:pPr>
      <w:rPr>
        <w:rFonts w:ascii="Courier New" w:hAnsi="Courier New" w:cs="Courier New" w:hint="default"/>
      </w:rPr>
    </w:lvl>
    <w:lvl w:ilvl="5" w:tplc="04130005" w:tentative="1">
      <w:start w:val="1"/>
      <w:numFmt w:val="bullet"/>
      <w:lvlText w:val=""/>
      <w:lvlJc w:val="left"/>
      <w:pPr>
        <w:ind w:left="4526" w:hanging="360"/>
      </w:pPr>
      <w:rPr>
        <w:rFonts w:ascii="Wingdings" w:hAnsi="Wingdings" w:hint="default"/>
      </w:rPr>
    </w:lvl>
    <w:lvl w:ilvl="6" w:tplc="04130001" w:tentative="1">
      <w:start w:val="1"/>
      <w:numFmt w:val="bullet"/>
      <w:lvlText w:val=""/>
      <w:lvlJc w:val="left"/>
      <w:pPr>
        <w:ind w:left="5246" w:hanging="360"/>
      </w:pPr>
      <w:rPr>
        <w:rFonts w:ascii="Symbol" w:hAnsi="Symbol" w:hint="default"/>
      </w:rPr>
    </w:lvl>
    <w:lvl w:ilvl="7" w:tplc="04130003" w:tentative="1">
      <w:start w:val="1"/>
      <w:numFmt w:val="bullet"/>
      <w:lvlText w:val="o"/>
      <w:lvlJc w:val="left"/>
      <w:pPr>
        <w:ind w:left="5966" w:hanging="360"/>
      </w:pPr>
      <w:rPr>
        <w:rFonts w:ascii="Courier New" w:hAnsi="Courier New" w:cs="Courier New" w:hint="default"/>
      </w:rPr>
    </w:lvl>
    <w:lvl w:ilvl="8" w:tplc="04130005" w:tentative="1">
      <w:start w:val="1"/>
      <w:numFmt w:val="bullet"/>
      <w:lvlText w:val=""/>
      <w:lvlJc w:val="left"/>
      <w:pPr>
        <w:ind w:left="6686" w:hanging="360"/>
      </w:pPr>
      <w:rPr>
        <w:rFonts w:ascii="Wingdings" w:hAnsi="Wingdings" w:hint="default"/>
      </w:rPr>
    </w:lvl>
  </w:abstractNum>
  <w:abstractNum w:abstractNumId="8" w15:restartNumberingAfterBreak="0">
    <w:nsid w:val="2CCB2C0F"/>
    <w:multiLevelType w:val="hybridMultilevel"/>
    <w:tmpl w:val="F35A60B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2D6D5DB6"/>
    <w:multiLevelType w:val="hybridMultilevel"/>
    <w:tmpl w:val="C146196E"/>
    <w:lvl w:ilvl="0" w:tplc="04130001">
      <w:start w:val="1"/>
      <w:numFmt w:val="bullet"/>
      <w:lvlText w:val=""/>
      <w:lvlJc w:val="left"/>
      <w:pPr>
        <w:ind w:left="926" w:hanging="360"/>
      </w:pPr>
      <w:rPr>
        <w:rFonts w:ascii="Symbol" w:hAnsi="Symbol" w:hint="default"/>
      </w:rPr>
    </w:lvl>
    <w:lvl w:ilvl="1" w:tplc="04130003" w:tentative="1">
      <w:start w:val="1"/>
      <w:numFmt w:val="bullet"/>
      <w:lvlText w:val="o"/>
      <w:lvlJc w:val="left"/>
      <w:pPr>
        <w:ind w:left="1646" w:hanging="360"/>
      </w:pPr>
      <w:rPr>
        <w:rFonts w:ascii="Courier New" w:hAnsi="Courier New" w:cs="Courier New" w:hint="default"/>
      </w:rPr>
    </w:lvl>
    <w:lvl w:ilvl="2" w:tplc="04130005" w:tentative="1">
      <w:start w:val="1"/>
      <w:numFmt w:val="bullet"/>
      <w:lvlText w:val=""/>
      <w:lvlJc w:val="left"/>
      <w:pPr>
        <w:ind w:left="2366" w:hanging="360"/>
      </w:pPr>
      <w:rPr>
        <w:rFonts w:ascii="Wingdings" w:hAnsi="Wingdings" w:hint="default"/>
      </w:rPr>
    </w:lvl>
    <w:lvl w:ilvl="3" w:tplc="04130001" w:tentative="1">
      <w:start w:val="1"/>
      <w:numFmt w:val="bullet"/>
      <w:lvlText w:val=""/>
      <w:lvlJc w:val="left"/>
      <w:pPr>
        <w:ind w:left="3086" w:hanging="360"/>
      </w:pPr>
      <w:rPr>
        <w:rFonts w:ascii="Symbol" w:hAnsi="Symbol" w:hint="default"/>
      </w:rPr>
    </w:lvl>
    <w:lvl w:ilvl="4" w:tplc="04130003" w:tentative="1">
      <w:start w:val="1"/>
      <w:numFmt w:val="bullet"/>
      <w:lvlText w:val="o"/>
      <w:lvlJc w:val="left"/>
      <w:pPr>
        <w:ind w:left="3806" w:hanging="360"/>
      </w:pPr>
      <w:rPr>
        <w:rFonts w:ascii="Courier New" w:hAnsi="Courier New" w:cs="Courier New" w:hint="default"/>
      </w:rPr>
    </w:lvl>
    <w:lvl w:ilvl="5" w:tplc="04130005" w:tentative="1">
      <w:start w:val="1"/>
      <w:numFmt w:val="bullet"/>
      <w:lvlText w:val=""/>
      <w:lvlJc w:val="left"/>
      <w:pPr>
        <w:ind w:left="4526" w:hanging="360"/>
      </w:pPr>
      <w:rPr>
        <w:rFonts w:ascii="Wingdings" w:hAnsi="Wingdings" w:hint="default"/>
      </w:rPr>
    </w:lvl>
    <w:lvl w:ilvl="6" w:tplc="04130001" w:tentative="1">
      <w:start w:val="1"/>
      <w:numFmt w:val="bullet"/>
      <w:lvlText w:val=""/>
      <w:lvlJc w:val="left"/>
      <w:pPr>
        <w:ind w:left="5246" w:hanging="360"/>
      </w:pPr>
      <w:rPr>
        <w:rFonts w:ascii="Symbol" w:hAnsi="Symbol" w:hint="default"/>
      </w:rPr>
    </w:lvl>
    <w:lvl w:ilvl="7" w:tplc="04130003" w:tentative="1">
      <w:start w:val="1"/>
      <w:numFmt w:val="bullet"/>
      <w:lvlText w:val="o"/>
      <w:lvlJc w:val="left"/>
      <w:pPr>
        <w:ind w:left="5966" w:hanging="360"/>
      </w:pPr>
      <w:rPr>
        <w:rFonts w:ascii="Courier New" w:hAnsi="Courier New" w:cs="Courier New" w:hint="default"/>
      </w:rPr>
    </w:lvl>
    <w:lvl w:ilvl="8" w:tplc="04130005" w:tentative="1">
      <w:start w:val="1"/>
      <w:numFmt w:val="bullet"/>
      <w:lvlText w:val=""/>
      <w:lvlJc w:val="left"/>
      <w:pPr>
        <w:ind w:left="6686" w:hanging="360"/>
      </w:pPr>
      <w:rPr>
        <w:rFonts w:ascii="Wingdings" w:hAnsi="Wingdings" w:hint="default"/>
      </w:rPr>
    </w:lvl>
  </w:abstractNum>
  <w:abstractNum w:abstractNumId="10" w15:restartNumberingAfterBreak="0">
    <w:nsid w:val="4C44041F"/>
    <w:multiLevelType w:val="multilevel"/>
    <w:tmpl w:val="A5344D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9"/>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hyphenationZone w:val="425"/>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1A6C"/>
    <w:rsid w:val="00061AB4"/>
    <w:rsid w:val="00080DA4"/>
    <w:rsid w:val="000A5163"/>
    <w:rsid w:val="001257B9"/>
    <w:rsid w:val="001B1EB9"/>
    <w:rsid w:val="00226811"/>
    <w:rsid w:val="002E47F7"/>
    <w:rsid w:val="00392837"/>
    <w:rsid w:val="0039462A"/>
    <w:rsid w:val="0045529B"/>
    <w:rsid w:val="00510A61"/>
    <w:rsid w:val="00694106"/>
    <w:rsid w:val="007815F5"/>
    <w:rsid w:val="008F4127"/>
    <w:rsid w:val="00A52FCD"/>
    <w:rsid w:val="00B24FA1"/>
    <w:rsid w:val="00B51A6C"/>
    <w:rsid w:val="00B62B66"/>
    <w:rsid w:val="00BB1D7A"/>
    <w:rsid w:val="00C13596"/>
    <w:rsid w:val="00C24664"/>
    <w:rsid w:val="00C37A69"/>
    <w:rsid w:val="00C56A3B"/>
    <w:rsid w:val="00DB31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82DEC"/>
  <w15:docId w15:val="{4344E81E-8F29-4B3D-90FF-713BD37E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6811"/>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47F7"/>
    <w:pPr>
      <w:ind w:left="720"/>
      <w:contextualSpacing/>
    </w:pPr>
  </w:style>
  <w:style w:type="paragraph" w:styleId="Koptekst">
    <w:name w:val="header"/>
    <w:basedOn w:val="Standaard"/>
    <w:link w:val="KoptekstChar"/>
    <w:uiPriority w:val="99"/>
    <w:unhideWhenUsed/>
    <w:rsid w:val="00C24664"/>
    <w:pPr>
      <w:tabs>
        <w:tab w:val="center" w:pos="4536"/>
        <w:tab w:val="right" w:pos="9072"/>
      </w:tabs>
    </w:pPr>
  </w:style>
  <w:style w:type="character" w:customStyle="1" w:styleId="KoptekstChar">
    <w:name w:val="Koptekst Char"/>
    <w:basedOn w:val="Standaardalinea-lettertype"/>
    <w:link w:val="Koptekst"/>
    <w:uiPriority w:val="99"/>
    <w:rsid w:val="00C24664"/>
  </w:style>
  <w:style w:type="paragraph" w:styleId="Voettekst">
    <w:name w:val="footer"/>
    <w:basedOn w:val="Standaard"/>
    <w:link w:val="VoettekstChar"/>
    <w:uiPriority w:val="99"/>
    <w:unhideWhenUsed/>
    <w:rsid w:val="00C24664"/>
    <w:pPr>
      <w:tabs>
        <w:tab w:val="center" w:pos="4536"/>
        <w:tab w:val="right" w:pos="9072"/>
      </w:tabs>
    </w:pPr>
  </w:style>
  <w:style w:type="character" w:customStyle="1" w:styleId="VoettekstChar">
    <w:name w:val="Voettekst Char"/>
    <w:basedOn w:val="Standaardalinea-lettertype"/>
    <w:link w:val="Voettekst"/>
    <w:uiPriority w:val="99"/>
    <w:rsid w:val="00C24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1579</Words>
  <Characters>8686</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NPOI</dc:creator>
  <cp:lastModifiedBy>Andre Broers</cp:lastModifiedBy>
  <cp:revision>2</cp:revision>
  <dcterms:created xsi:type="dcterms:W3CDTF">2022-02-23T07:19:00Z</dcterms:created>
  <dcterms:modified xsi:type="dcterms:W3CDTF">2022-02-23T07:19:00Z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