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B3D33" w14:textId="1D97D7FB" w:rsidR="00D47BD4" w:rsidRPr="00D47BD4" w:rsidRDefault="00D47BD4" w:rsidP="00D47BD4">
      <w:pPr>
        <w:pStyle w:val="Geenafstand"/>
        <w:rPr>
          <w:b/>
          <w:u w:val="single"/>
        </w:rPr>
      </w:pPr>
      <w:r>
        <w:rPr>
          <w:b/>
          <w:u w:val="single"/>
        </w:rPr>
        <w:t>Model transfer agreement</w:t>
      </w:r>
      <w:r w:rsidR="003A708A">
        <w:rPr>
          <w:b/>
          <w:u w:val="single"/>
        </w:rPr>
        <w:t>:</w:t>
      </w:r>
      <w:r>
        <w:rPr>
          <w:b/>
          <w:u w:val="single"/>
        </w:rPr>
        <w:t xml:space="preserve"> Customer (Controller) - Accountant (Controller)</w:t>
      </w:r>
    </w:p>
    <w:p w14:paraId="0457995C" w14:textId="77777777" w:rsidR="00D47BD4" w:rsidRPr="00D47BD4" w:rsidRDefault="00D47BD4" w:rsidP="00D47BD4">
      <w:pPr>
        <w:pStyle w:val="Geenafstand"/>
        <w:rPr>
          <w:b/>
          <w:u w:val="single"/>
        </w:rPr>
      </w:pPr>
    </w:p>
    <w:p w14:paraId="2FA30B01" w14:textId="77777777" w:rsidR="00D47BD4" w:rsidRPr="00D47BD4" w:rsidRDefault="00D47BD4" w:rsidP="00D47BD4">
      <w:pPr>
        <w:pStyle w:val="Geenafstand"/>
        <w:pBdr>
          <w:top w:val="single" w:sz="4" w:space="1" w:color="auto"/>
          <w:left w:val="single" w:sz="4" w:space="4" w:color="auto"/>
          <w:bottom w:val="single" w:sz="4" w:space="1" w:color="auto"/>
          <w:right w:val="single" w:sz="4" w:space="4" w:color="auto"/>
        </w:pBdr>
        <w:rPr>
          <w:i/>
        </w:rPr>
      </w:pPr>
      <w:r>
        <w:rPr>
          <w:i/>
        </w:rPr>
        <w:t>Explanation: As the accountant, you are in principle the Controller if you process personal data within the scope of an assignment to which Standards 100-3850 or 4410 apply. However, you should always establish whether special circumstances make you the Processor in a specific case. The NBA website contains an up-to-date overview where you can find out whether the accountant is a Controller or a Processor for a particular type of assignment. (</w:t>
      </w:r>
      <w:hyperlink r:id="rId7">
        <w:r>
          <w:rPr>
            <w:rStyle w:val="Hyperlink"/>
            <w:i/>
          </w:rPr>
          <w:t>https://www.nba.nl/tools-en-voorbeelden/model-bewerkersovereenkomst/</w:t>
        </w:r>
      </w:hyperlink>
      <w:r>
        <w:rPr>
          <w:i/>
        </w:rPr>
        <w:t xml:space="preserve"> )</w:t>
      </w:r>
    </w:p>
    <w:p w14:paraId="1CEA0221" w14:textId="77777777" w:rsidR="00D47BD4" w:rsidRPr="00D47BD4" w:rsidRDefault="00D47BD4" w:rsidP="00D47BD4">
      <w:pPr>
        <w:pStyle w:val="Geenafstand"/>
        <w:pBdr>
          <w:top w:val="single" w:sz="4" w:space="1" w:color="auto"/>
          <w:left w:val="single" w:sz="4" w:space="4" w:color="auto"/>
          <w:bottom w:val="single" w:sz="4" w:space="1" w:color="auto"/>
          <w:right w:val="single" w:sz="4" w:space="4" w:color="auto"/>
        </w:pBdr>
        <w:rPr>
          <w:i/>
        </w:rPr>
      </w:pPr>
    </w:p>
    <w:p w14:paraId="58605A85" w14:textId="77777777" w:rsidR="00D47BD4" w:rsidRPr="00D47BD4" w:rsidRDefault="00D47BD4" w:rsidP="00D47BD4">
      <w:pPr>
        <w:pStyle w:val="Geenafstand"/>
        <w:pBdr>
          <w:top w:val="single" w:sz="4" w:space="1" w:color="auto"/>
          <w:left w:val="single" w:sz="4" w:space="4" w:color="auto"/>
          <w:bottom w:val="single" w:sz="4" w:space="1" w:color="auto"/>
          <w:right w:val="single" w:sz="4" w:space="4" w:color="auto"/>
        </w:pBdr>
        <w:rPr>
          <w:i/>
        </w:rPr>
      </w:pPr>
      <w:r>
        <w:rPr>
          <w:i/>
        </w:rPr>
        <w:t xml:space="preserve">Before using this model, you should establish whether you, as the accountant, are Processor or Controller. You can only use this model for assignments where both you, as the accountant, and the client are Controllers. </w:t>
      </w:r>
    </w:p>
    <w:p w14:paraId="037D7271" w14:textId="77777777" w:rsidR="00D47BD4" w:rsidRPr="00D47BD4" w:rsidRDefault="00D47BD4" w:rsidP="00D47BD4">
      <w:pPr>
        <w:pStyle w:val="Geenafstand"/>
        <w:pBdr>
          <w:top w:val="single" w:sz="4" w:space="1" w:color="auto"/>
          <w:left w:val="single" w:sz="4" w:space="4" w:color="auto"/>
          <w:bottom w:val="single" w:sz="4" w:space="1" w:color="auto"/>
          <w:right w:val="single" w:sz="4" w:space="4" w:color="auto"/>
        </w:pBdr>
        <w:rPr>
          <w:i/>
        </w:rPr>
      </w:pPr>
    </w:p>
    <w:p w14:paraId="7E9C0F85" w14:textId="77777777" w:rsidR="00D47BD4" w:rsidRPr="00D47BD4" w:rsidRDefault="00D47BD4" w:rsidP="00D47BD4">
      <w:pPr>
        <w:pStyle w:val="Geenafstand"/>
        <w:pBdr>
          <w:top w:val="single" w:sz="4" w:space="1" w:color="auto"/>
          <w:left w:val="single" w:sz="4" w:space="4" w:color="auto"/>
          <w:bottom w:val="single" w:sz="4" w:space="1" w:color="auto"/>
          <w:right w:val="single" w:sz="4" w:space="4" w:color="auto"/>
        </w:pBdr>
        <w:rPr>
          <w:i/>
        </w:rPr>
      </w:pPr>
      <w:r>
        <w:rPr>
          <w:i/>
        </w:rPr>
        <w:t xml:space="preserve">It has become clear that within society the use of a model is sometimes regarded as compulsory. However, this is </w:t>
      </w:r>
      <w:r>
        <w:rPr>
          <w:b/>
          <w:i/>
        </w:rPr>
        <w:t>not</w:t>
      </w:r>
      <w:r>
        <w:rPr>
          <w:i/>
        </w:rPr>
        <w:t xml:space="preserve"> the case. You may choose to use the models drawn up by the NBA, but, obviously, you may also choose to draw up your own agreement or adapt this model according to your own preferences. In addition, an agreement between two Controllers is not mandatory under the GDPR.</w:t>
      </w:r>
    </w:p>
    <w:p w14:paraId="440C638B" w14:textId="77777777" w:rsidR="00D47BD4" w:rsidRPr="00D47BD4" w:rsidRDefault="00D47BD4" w:rsidP="00D47BD4">
      <w:pPr>
        <w:pStyle w:val="Geenafstand"/>
        <w:rPr>
          <w:i/>
        </w:rPr>
      </w:pPr>
    </w:p>
    <w:p w14:paraId="2A5399A6" w14:textId="77777777" w:rsidR="00D47BD4" w:rsidRPr="00D47BD4" w:rsidRDefault="00D47BD4" w:rsidP="00D47BD4">
      <w:pPr>
        <w:pStyle w:val="Geenafstand"/>
        <w:rPr>
          <w:b/>
        </w:rPr>
      </w:pPr>
      <w:r>
        <w:rPr>
          <w:b/>
        </w:rPr>
        <w:t>The Parties:</w:t>
      </w:r>
    </w:p>
    <w:p w14:paraId="643A3A16" w14:textId="77777777" w:rsidR="00D47BD4" w:rsidRPr="00D47BD4" w:rsidRDefault="00D47BD4" w:rsidP="00D47BD4">
      <w:pPr>
        <w:pStyle w:val="Geenafstand"/>
      </w:pPr>
    </w:p>
    <w:p w14:paraId="28D35475" w14:textId="77777777" w:rsidR="00D47BD4" w:rsidRPr="00D47BD4" w:rsidRDefault="00D47BD4" w:rsidP="00D47BD4">
      <w:pPr>
        <w:pStyle w:val="Geenafstand"/>
        <w:jc w:val="both"/>
      </w:pPr>
      <w:r>
        <w:rPr>
          <w:u w:val="single"/>
        </w:rPr>
        <w:t>[NAME CUSTOMER + LEGAL FORM]</w:t>
      </w:r>
      <w:r>
        <w:t>, with its registered office in [city, street and house number if any], hereinafter referred to as: “</w:t>
      </w:r>
      <w:r>
        <w:rPr>
          <w:b/>
        </w:rPr>
        <w:t>Client</w:t>
      </w:r>
      <w:r>
        <w:t>”, “</w:t>
      </w:r>
      <w:r>
        <w:rPr>
          <w:b/>
        </w:rPr>
        <w:t>You</w:t>
      </w:r>
      <w:r>
        <w:t>” or “</w:t>
      </w:r>
      <w:r>
        <w:rPr>
          <w:b/>
        </w:rPr>
        <w:t>Your</w:t>
      </w:r>
      <w:r>
        <w:t>”, duly represented in this matter by [name], in the capacity of [position];</w:t>
      </w:r>
    </w:p>
    <w:p w14:paraId="4E5BC6A6" w14:textId="77777777" w:rsidR="00D47BD4" w:rsidRPr="00D47BD4" w:rsidRDefault="00D47BD4">
      <w:pPr>
        <w:pStyle w:val="Geenafstand"/>
        <w:jc w:val="both"/>
      </w:pPr>
    </w:p>
    <w:p w14:paraId="31E0A659" w14:textId="77777777" w:rsidR="00D47BD4" w:rsidRPr="00D47BD4" w:rsidRDefault="00D47BD4">
      <w:pPr>
        <w:pStyle w:val="Geenafstand"/>
        <w:jc w:val="both"/>
      </w:pPr>
      <w:r>
        <w:t>and</w:t>
      </w:r>
    </w:p>
    <w:p w14:paraId="125A6838" w14:textId="77777777" w:rsidR="00D47BD4" w:rsidRPr="00D47BD4" w:rsidRDefault="00D47BD4">
      <w:pPr>
        <w:pStyle w:val="Geenafstand"/>
        <w:jc w:val="both"/>
      </w:pPr>
    </w:p>
    <w:p w14:paraId="315CF58D" w14:textId="77777777" w:rsidR="00D47BD4" w:rsidRPr="00D47BD4" w:rsidRDefault="00D47BD4">
      <w:pPr>
        <w:pStyle w:val="Geenafstand"/>
        <w:jc w:val="both"/>
      </w:pPr>
      <w:r>
        <w:rPr>
          <w:u w:val="single"/>
        </w:rPr>
        <w:t>[NAME ACCOUNTANCY PRACTICE]</w:t>
      </w:r>
      <w:r>
        <w:t>, with its registered office in [city, street and house number], hereinafter referred to as: “</w:t>
      </w:r>
      <w:r>
        <w:rPr>
          <w:b/>
        </w:rPr>
        <w:t>Contractor/Controller</w:t>
      </w:r>
      <w:r>
        <w:t>”, “</w:t>
      </w:r>
      <w:r>
        <w:rPr>
          <w:b/>
        </w:rPr>
        <w:t>We</w:t>
      </w:r>
      <w:r>
        <w:t>”, "</w:t>
      </w:r>
      <w:r>
        <w:rPr>
          <w:b/>
        </w:rPr>
        <w:t>Us</w:t>
      </w:r>
      <w:r>
        <w:t xml:space="preserve"> or “</w:t>
      </w:r>
      <w:r>
        <w:rPr>
          <w:b/>
        </w:rPr>
        <w:t>Our</w:t>
      </w:r>
      <w:r>
        <w:t>”, duly represented in this matter by [name + position];</w:t>
      </w:r>
    </w:p>
    <w:p w14:paraId="5644E775" w14:textId="77777777" w:rsidR="00D47BD4" w:rsidRPr="00D47BD4" w:rsidRDefault="00D47BD4">
      <w:pPr>
        <w:pStyle w:val="Geenafstand"/>
        <w:jc w:val="both"/>
      </w:pPr>
    </w:p>
    <w:p w14:paraId="2C70470D" w14:textId="77777777" w:rsidR="00D47BD4" w:rsidRPr="00D47BD4" w:rsidRDefault="00D47BD4">
      <w:pPr>
        <w:pStyle w:val="Geenafstand"/>
        <w:jc w:val="both"/>
      </w:pPr>
    </w:p>
    <w:p w14:paraId="6A628580" w14:textId="77777777" w:rsidR="00D47BD4" w:rsidRPr="00D47BD4" w:rsidRDefault="00D47BD4">
      <w:pPr>
        <w:pStyle w:val="Geenafstand"/>
        <w:jc w:val="both"/>
      </w:pPr>
      <w:r>
        <w:t>Hereinafter jointly referred to as "Parties", "We" or "Jointly"</w:t>
      </w:r>
    </w:p>
    <w:p w14:paraId="60A88026" w14:textId="77777777" w:rsidR="00D47BD4" w:rsidRPr="00D47BD4" w:rsidRDefault="00D47BD4">
      <w:pPr>
        <w:pStyle w:val="Geenafstand"/>
        <w:jc w:val="both"/>
        <w:rPr>
          <w:b/>
        </w:rPr>
      </w:pPr>
    </w:p>
    <w:p w14:paraId="3B492D4A" w14:textId="77777777" w:rsidR="00D47BD4" w:rsidRPr="00D47BD4" w:rsidRDefault="00D47BD4">
      <w:pPr>
        <w:pStyle w:val="Geenafstand"/>
        <w:jc w:val="both"/>
        <w:rPr>
          <w:b/>
        </w:rPr>
      </w:pPr>
      <w:r>
        <w:rPr>
          <w:b/>
        </w:rPr>
        <w:t>Whereas:</w:t>
      </w:r>
    </w:p>
    <w:p w14:paraId="015B308D" w14:textId="77777777" w:rsidR="00D47BD4" w:rsidRPr="00D47BD4" w:rsidRDefault="00D47BD4">
      <w:pPr>
        <w:pStyle w:val="Geenafstand"/>
        <w:jc w:val="both"/>
        <w:rPr>
          <w:b/>
        </w:rPr>
      </w:pPr>
    </w:p>
    <w:p w14:paraId="22623B56" w14:textId="56CCBD9C" w:rsidR="00D47BD4" w:rsidRPr="00D47BD4" w:rsidRDefault="00D47BD4">
      <w:pPr>
        <w:pStyle w:val="Geenafstand"/>
        <w:ind w:left="705" w:hanging="705"/>
        <w:jc w:val="both"/>
      </w:pPr>
      <w:r>
        <w:t>A.</w:t>
      </w:r>
      <w:r>
        <w:tab/>
        <w:t xml:space="preserve">On [date] </w:t>
      </w:r>
      <w:r w:rsidR="00EB55C2">
        <w:t xml:space="preserve">We </w:t>
      </w:r>
      <w:r>
        <w:t>entered into the assignment with name/reference [complete] with You, for Us to perform the following assignment:</w:t>
      </w:r>
      <w:r w:rsidR="00DD755B">
        <w:t xml:space="preserve"> </w:t>
      </w:r>
      <w:r>
        <w:t>[complete] (the “Underlying Assignment”). We will Process the Personal Data listed in the Annex to this Agreement.</w:t>
      </w:r>
    </w:p>
    <w:p w14:paraId="2D8B08DE" w14:textId="77777777" w:rsidR="00D47BD4" w:rsidRPr="00D47BD4" w:rsidRDefault="00D47BD4">
      <w:pPr>
        <w:pStyle w:val="Geenafstand"/>
        <w:ind w:left="705" w:hanging="705"/>
        <w:jc w:val="both"/>
      </w:pPr>
    </w:p>
    <w:p w14:paraId="49DFFB96" w14:textId="0792FC9E" w:rsidR="00D47BD4" w:rsidRPr="00A9629B" w:rsidRDefault="00D47BD4">
      <w:pPr>
        <w:ind w:left="705" w:hanging="705"/>
      </w:pPr>
      <w:r>
        <w:t>B.</w:t>
      </w:r>
      <w:r>
        <w:tab/>
        <w:t>We shall be regarded as "Controller" because of the performance of this Underlying assignment and in respect of the Personal Data that We will Process in this respect. As Client you are also regarded as “Controller”</w:t>
      </w:r>
      <w:r w:rsidRPr="00E16228">
        <w:rPr>
          <w:vertAlign w:val="superscript"/>
        </w:rPr>
        <w:footnoteReference w:id="1"/>
      </w:r>
      <w:r>
        <w:t>. In this Agreement</w:t>
      </w:r>
      <w:r w:rsidR="00EB55C2">
        <w:t>,</w:t>
      </w:r>
      <w:r>
        <w:t xml:space="preserve"> We record our mutual rights and obligations in respect of the processing of Personal Data.</w:t>
      </w:r>
      <w:r>
        <w:br w:type="page"/>
      </w:r>
    </w:p>
    <w:p w14:paraId="30C37DE6" w14:textId="77777777" w:rsidR="00D47BD4" w:rsidRPr="00D47BD4" w:rsidRDefault="00D47BD4">
      <w:pPr>
        <w:pStyle w:val="Geenafstand"/>
        <w:rPr>
          <w:b/>
        </w:rPr>
      </w:pPr>
      <w:r>
        <w:rPr>
          <w:b/>
        </w:rPr>
        <w:lastRenderedPageBreak/>
        <w:t>The Parties have agreed as follows:</w:t>
      </w:r>
    </w:p>
    <w:p w14:paraId="56C1BEF7" w14:textId="77777777" w:rsidR="00D47BD4" w:rsidRPr="00D47BD4" w:rsidRDefault="00D47BD4">
      <w:pPr>
        <w:pStyle w:val="Geenafstand"/>
      </w:pPr>
    </w:p>
    <w:p w14:paraId="61C7DE79" w14:textId="77777777" w:rsidR="00D47BD4" w:rsidRPr="00D47BD4" w:rsidRDefault="00D47BD4">
      <w:pPr>
        <w:pStyle w:val="Geenafstand"/>
        <w:rPr>
          <w:b/>
          <w:u w:val="single"/>
        </w:rPr>
      </w:pPr>
      <w:r>
        <w:rPr>
          <w:b/>
          <w:u w:val="single"/>
        </w:rPr>
        <w:t>1.</w:t>
      </w:r>
      <w:r>
        <w:tab/>
      </w:r>
      <w:r>
        <w:rPr>
          <w:b/>
          <w:u w:val="single"/>
        </w:rPr>
        <w:t>Definitions</w:t>
      </w:r>
    </w:p>
    <w:p w14:paraId="4BAEB281" w14:textId="77777777" w:rsidR="00D47BD4" w:rsidRPr="00D47BD4" w:rsidRDefault="00D47BD4">
      <w:pPr>
        <w:pStyle w:val="Geenafstand"/>
      </w:pPr>
    </w:p>
    <w:p w14:paraId="0802E3F2" w14:textId="77777777" w:rsidR="00D47BD4" w:rsidRPr="00D47BD4" w:rsidRDefault="00D47BD4">
      <w:pPr>
        <w:pStyle w:val="Geenafstand"/>
        <w:jc w:val="both"/>
      </w:pPr>
      <w:r>
        <w:t>A number of terms is used in this Agreement. The meaning of these terms is explained below. The terms referred to above shall be capitalised in this Agreement. In the list below, the description of the term from the privacy legislation and regulations is mostly used.</w:t>
      </w:r>
    </w:p>
    <w:p w14:paraId="71EF6FA9" w14:textId="77777777" w:rsidR="00D47BD4" w:rsidRPr="00D47BD4" w:rsidRDefault="00D47BD4">
      <w:pPr>
        <w:pStyle w:val="Geenafstand"/>
        <w:jc w:val="both"/>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4"/>
        <w:gridCol w:w="6168"/>
      </w:tblGrid>
      <w:tr w:rsidR="00D47BD4" w:rsidRPr="00D47BD4" w14:paraId="37AC6181" w14:textId="77777777" w:rsidTr="00D01250">
        <w:tc>
          <w:tcPr>
            <w:tcW w:w="2961" w:type="dxa"/>
          </w:tcPr>
          <w:p w14:paraId="099BA1CE" w14:textId="77777777" w:rsidR="00D47BD4" w:rsidRPr="00D47BD4" w:rsidRDefault="00D47BD4">
            <w:pPr>
              <w:pStyle w:val="Geenafstand"/>
              <w:rPr>
                <w:sz w:val="20"/>
                <w:szCs w:val="20"/>
              </w:rPr>
            </w:pPr>
            <w:r w:rsidRPr="00A9629B">
              <w:rPr>
                <w:sz w:val="20"/>
              </w:rPr>
              <w:t>Data Subject:</w:t>
            </w:r>
          </w:p>
        </w:tc>
        <w:tc>
          <w:tcPr>
            <w:tcW w:w="6327" w:type="dxa"/>
          </w:tcPr>
          <w:p w14:paraId="329B159B" w14:textId="77777777" w:rsidR="00D47BD4" w:rsidRPr="00D47BD4" w:rsidRDefault="00D47BD4">
            <w:pPr>
              <w:pStyle w:val="Geenafstand"/>
              <w:jc w:val="both"/>
              <w:rPr>
                <w:sz w:val="20"/>
                <w:szCs w:val="20"/>
              </w:rPr>
            </w:pPr>
            <w:r w:rsidRPr="00A9629B">
              <w:rPr>
                <w:sz w:val="20"/>
              </w:rPr>
              <w:t>The person to whom Personal Data relates.</w:t>
            </w:r>
          </w:p>
          <w:p w14:paraId="0298B6E0" w14:textId="77777777" w:rsidR="00D47BD4" w:rsidRPr="00D47BD4" w:rsidRDefault="00D47BD4">
            <w:pPr>
              <w:pStyle w:val="Geenafstand"/>
              <w:jc w:val="both"/>
              <w:rPr>
                <w:sz w:val="20"/>
                <w:szCs w:val="20"/>
              </w:rPr>
            </w:pPr>
          </w:p>
        </w:tc>
      </w:tr>
      <w:tr w:rsidR="00D47BD4" w:rsidRPr="00D47BD4" w14:paraId="6F3E5034" w14:textId="77777777" w:rsidTr="00D01250">
        <w:tc>
          <w:tcPr>
            <w:tcW w:w="2961" w:type="dxa"/>
          </w:tcPr>
          <w:p w14:paraId="6B255932" w14:textId="77777777" w:rsidR="00D47BD4" w:rsidRPr="00D47BD4" w:rsidRDefault="00D47BD4">
            <w:pPr>
              <w:pStyle w:val="Geenafstand"/>
              <w:rPr>
                <w:sz w:val="20"/>
                <w:szCs w:val="20"/>
              </w:rPr>
            </w:pPr>
            <w:r w:rsidRPr="00A9629B">
              <w:rPr>
                <w:sz w:val="20"/>
              </w:rPr>
              <w:t>Processor:</w:t>
            </w:r>
          </w:p>
        </w:tc>
        <w:tc>
          <w:tcPr>
            <w:tcW w:w="6327" w:type="dxa"/>
          </w:tcPr>
          <w:p w14:paraId="12DBC103" w14:textId="77777777" w:rsidR="00D47BD4" w:rsidRPr="00D47BD4" w:rsidRDefault="00D47BD4">
            <w:pPr>
              <w:pStyle w:val="Geenafstand"/>
              <w:jc w:val="both"/>
              <w:rPr>
                <w:sz w:val="20"/>
                <w:szCs w:val="20"/>
              </w:rPr>
            </w:pPr>
            <w:r w:rsidRPr="00A9629B">
              <w:rPr>
                <w:sz w:val="20"/>
              </w:rPr>
              <w:t>A natural or legal person, public authority, agency or other body that processes personal data on behalf of the Controller, without being subject to its direct authority.</w:t>
            </w:r>
          </w:p>
          <w:p w14:paraId="13884EA8" w14:textId="77777777" w:rsidR="00D47BD4" w:rsidRPr="00D47BD4" w:rsidRDefault="00D47BD4">
            <w:pPr>
              <w:pStyle w:val="Geenafstand"/>
              <w:jc w:val="both"/>
              <w:rPr>
                <w:sz w:val="20"/>
                <w:szCs w:val="20"/>
              </w:rPr>
            </w:pPr>
          </w:p>
        </w:tc>
      </w:tr>
      <w:tr w:rsidR="00D47BD4" w:rsidRPr="00D47BD4" w14:paraId="0B14164A" w14:textId="77777777" w:rsidTr="00D01250">
        <w:tc>
          <w:tcPr>
            <w:tcW w:w="2961" w:type="dxa"/>
          </w:tcPr>
          <w:p w14:paraId="4497DE8A" w14:textId="77777777" w:rsidR="00D47BD4" w:rsidRPr="00A9629B" w:rsidRDefault="00D47BD4">
            <w:pPr>
              <w:pStyle w:val="Geenafstand"/>
              <w:rPr>
                <w:rFonts w:cs="Calibri"/>
                <w:sz w:val="20"/>
                <w:szCs w:val="20"/>
              </w:rPr>
            </w:pPr>
            <w:r w:rsidRPr="00A9629B">
              <w:rPr>
                <w:sz w:val="20"/>
              </w:rPr>
              <w:t>Controller:</w:t>
            </w:r>
          </w:p>
        </w:tc>
        <w:tc>
          <w:tcPr>
            <w:tcW w:w="6327" w:type="dxa"/>
          </w:tcPr>
          <w:p w14:paraId="11413385" w14:textId="77777777" w:rsidR="00D47BD4" w:rsidRPr="00D47BD4" w:rsidRDefault="00D47BD4">
            <w:pPr>
              <w:pStyle w:val="Geenafstand"/>
              <w:jc w:val="both"/>
              <w:rPr>
                <w:sz w:val="20"/>
                <w:szCs w:val="20"/>
              </w:rPr>
            </w:pPr>
            <w:r w:rsidRPr="00A9629B">
              <w:rPr>
                <w:sz w:val="20"/>
              </w:rPr>
              <w:t>A natural or legal person, public authority, agency or other body which, alone or jointly with others, determines the purposes and means of the processing of personal data.</w:t>
            </w:r>
          </w:p>
          <w:p w14:paraId="0D623190" w14:textId="77777777" w:rsidR="00D47BD4" w:rsidRPr="00D47BD4" w:rsidRDefault="00D47BD4">
            <w:pPr>
              <w:pStyle w:val="Geenafstand"/>
              <w:jc w:val="both"/>
              <w:rPr>
                <w:sz w:val="20"/>
                <w:szCs w:val="20"/>
              </w:rPr>
            </w:pPr>
          </w:p>
        </w:tc>
      </w:tr>
      <w:tr w:rsidR="00D47BD4" w:rsidRPr="00D47BD4" w14:paraId="32E760FE" w14:textId="77777777" w:rsidTr="00D01250">
        <w:tc>
          <w:tcPr>
            <w:tcW w:w="2961" w:type="dxa"/>
          </w:tcPr>
          <w:p w14:paraId="1CA7D878" w14:textId="77777777" w:rsidR="00D47BD4" w:rsidRPr="00D47BD4" w:rsidRDefault="00D47BD4">
            <w:pPr>
              <w:pStyle w:val="Geenafstand"/>
              <w:rPr>
                <w:sz w:val="20"/>
                <w:szCs w:val="20"/>
              </w:rPr>
            </w:pPr>
            <w:r w:rsidRPr="00A9629B">
              <w:rPr>
                <w:sz w:val="20"/>
              </w:rPr>
              <w:t>Personal Data Breach:</w:t>
            </w:r>
          </w:p>
        </w:tc>
        <w:tc>
          <w:tcPr>
            <w:tcW w:w="6327" w:type="dxa"/>
          </w:tcPr>
          <w:p w14:paraId="6E284749" w14:textId="718F31AF" w:rsidR="00D47BD4" w:rsidRPr="00D47BD4" w:rsidRDefault="00D47BD4">
            <w:pPr>
              <w:pStyle w:val="Geenafstand"/>
              <w:jc w:val="both"/>
              <w:rPr>
                <w:sz w:val="20"/>
                <w:szCs w:val="20"/>
              </w:rPr>
            </w:pPr>
            <w:r w:rsidRPr="00A9629B">
              <w:rPr>
                <w:sz w:val="20"/>
              </w:rPr>
              <w:t>A breach of the security leading to - or where it cannot reasonably be ruled out that it will lead to -</w:t>
            </w:r>
            <w:r w:rsidR="00DD755B">
              <w:rPr>
                <w:sz w:val="20"/>
              </w:rPr>
              <w:t xml:space="preserve"> </w:t>
            </w:r>
            <w:r w:rsidRPr="00A9629B">
              <w:rPr>
                <w:sz w:val="20"/>
              </w:rPr>
              <w:t>the accidental or unlawful destruction, loss, alteration, unauthorised disclosure of or access to personal data transmitted, stored or otherwise processed.</w:t>
            </w:r>
          </w:p>
          <w:p w14:paraId="1A43B79A" w14:textId="77777777" w:rsidR="00D47BD4" w:rsidRPr="00D47BD4" w:rsidRDefault="00D47BD4">
            <w:pPr>
              <w:pStyle w:val="Geenafstand"/>
              <w:jc w:val="both"/>
              <w:rPr>
                <w:sz w:val="20"/>
                <w:szCs w:val="20"/>
              </w:rPr>
            </w:pPr>
          </w:p>
        </w:tc>
      </w:tr>
      <w:tr w:rsidR="00D47BD4" w:rsidRPr="00D47BD4" w14:paraId="6EB51B5D" w14:textId="77777777" w:rsidTr="00D01250">
        <w:tc>
          <w:tcPr>
            <w:tcW w:w="2961" w:type="dxa"/>
          </w:tcPr>
          <w:p w14:paraId="7180C623" w14:textId="77777777" w:rsidR="00D47BD4" w:rsidRPr="00D47BD4" w:rsidRDefault="00D47BD4">
            <w:pPr>
              <w:pStyle w:val="Geenafstand"/>
              <w:rPr>
                <w:sz w:val="20"/>
                <w:szCs w:val="20"/>
              </w:rPr>
            </w:pPr>
            <w:r w:rsidRPr="00A9629B">
              <w:rPr>
                <w:sz w:val="20"/>
              </w:rPr>
              <w:t>Third Parties:</w:t>
            </w:r>
          </w:p>
        </w:tc>
        <w:tc>
          <w:tcPr>
            <w:tcW w:w="6327" w:type="dxa"/>
          </w:tcPr>
          <w:p w14:paraId="743E330F" w14:textId="77777777" w:rsidR="00D47BD4" w:rsidRPr="00A9629B" w:rsidRDefault="00D47BD4">
            <w:pPr>
              <w:pStyle w:val="Geenafstand"/>
              <w:jc w:val="both"/>
              <w:rPr>
                <w:sz w:val="20"/>
                <w:szCs w:val="20"/>
              </w:rPr>
            </w:pPr>
            <w:r w:rsidRPr="00A9629B">
              <w:rPr>
                <w:sz w:val="20"/>
              </w:rPr>
              <w:t xml:space="preserve">Parties other than You and We and Our Employees. </w:t>
            </w:r>
          </w:p>
          <w:p w14:paraId="1139BA84" w14:textId="77777777" w:rsidR="00D47BD4" w:rsidRPr="00D47BD4" w:rsidRDefault="00D47BD4">
            <w:pPr>
              <w:pStyle w:val="Geenafstand"/>
              <w:jc w:val="both"/>
              <w:rPr>
                <w:sz w:val="20"/>
                <w:szCs w:val="20"/>
              </w:rPr>
            </w:pPr>
          </w:p>
        </w:tc>
      </w:tr>
      <w:tr w:rsidR="00D47BD4" w:rsidRPr="00D47BD4" w14:paraId="60280222" w14:textId="77777777" w:rsidTr="00D01250">
        <w:tc>
          <w:tcPr>
            <w:tcW w:w="2961" w:type="dxa"/>
          </w:tcPr>
          <w:p w14:paraId="34E7AE94" w14:textId="77777777" w:rsidR="00D47BD4" w:rsidRPr="00D47BD4" w:rsidRDefault="00D47BD4">
            <w:pPr>
              <w:pStyle w:val="Geenafstand"/>
              <w:rPr>
                <w:sz w:val="20"/>
                <w:szCs w:val="20"/>
              </w:rPr>
            </w:pPr>
            <w:r w:rsidRPr="00A9629B">
              <w:rPr>
                <w:sz w:val="20"/>
              </w:rPr>
              <w:t>Data Breach Notification Duty:</w:t>
            </w:r>
          </w:p>
        </w:tc>
        <w:tc>
          <w:tcPr>
            <w:tcW w:w="6327" w:type="dxa"/>
          </w:tcPr>
          <w:p w14:paraId="37213DE8" w14:textId="5AA0EAAF" w:rsidR="00D47BD4" w:rsidRPr="00D47BD4" w:rsidRDefault="00D47BD4">
            <w:pPr>
              <w:pStyle w:val="Geenafstand"/>
              <w:jc w:val="both"/>
              <w:rPr>
                <w:sz w:val="20"/>
                <w:szCs w:val="20"/>
              </w:rPr>
            </w:pPr>
            <w:r w:rsidRPr="00A9629B">
              <w:rPr>
                <w:sz w:val="20"/>
              </w:rPr>
              <w:t>The duty to report Data Breaches to the</w:t>
            </w:r>
            <w:r w:rsidR="00EB55C2">
              <w:rPr>
                <w:sz w:val="20"/>
              </w:rPr>
              <w:t xml:space="preserve"> Dutch</w:t>
            </w:r>
            <w:r w:rsidRPr="00A9629B">
              <w:rPr>
                <w:sz w:val="20"/>
              </w:rPr>
              <w:t xml:space="preserve"> Data Protection Authority and (in some cases) to the Data Subject(s). </w:t>
            </w:r>
          </w:p>
          <w:p w14:paraId="1150B477" w14:textId="77777777" w:rsidR="00D47BD4" w:rsidRPr="00D47BD4" w:rsidRDefault="00D47BD4">
            <w:pPr>
              <w:pStyle w:val="Geenafstand"/>
              <w:jc w:val="both"/>
              <w:rPr>
                <w:sz w:val="20"/>
                <w:szCs w:val="20"/>
              </w:rPr>
            </w:pPr>
          </w:p>
        </w:tc>
      </w:tr>
      <w:tr w:rsidR="00D47BD4" w:rsidRPr="00D47BD4" w14:paraId="01FCDCE0" w14:textId="77777777" w:rsidTr="00D01250">
        <w:tc>
          <w:tcPr>
            <w:tcW w:w="2961" w:type="dxa"/>
          </w:tcPr>
          <w:p w14:paraId="79E6C86F" w14:textId="77777777" w:rsidR="00D47BD4" w:rsidRPr="00D47BD4" w:rsidRDefault="00D47BD4">
            <w:pPr>
              <w:pStyle w:val="Geenafstand"/>
              <w:rPr>
                <w:sz w:val="20"/>
                <w:szCs w:val="20"/>
              </w:rPr>
            </w:pPr>
            <w:r w:rsidRPr="00A9629B">
              <w:rPr>
                <w:sz w:val="20"/>
              </w:rPr>
              <w:t>Employees</w:t>
            </w:r>
          </w:p>
        </w:tc>
        <w:tc>
          <w:tcPr>
            <w:tcW w:w="6327" w:type="dxa"/>
          </w:tcPr>
          <w:p w14:paraId="25A454B8" w14:textId="77777777" w:rsidR="00D47BD4" w:rsidRPr="00D47BD4" w:rsidRDefault="00D47BD4">
            <w:pPr>
              <w:pStyle w:val="Geenafstand"/>
              <w:jc w:val="both"/>
              <w:rPr>
                <w:sz w:val="20"/>
                <w:szCs w:val="20"/>
              </w:rPr>
            </w:pPr>
            <w:r w:rsidRPr="00A9629B">
              <w:rPr>
                <w:sz w:val="20"/>
              </w:rPr>
              <w:t>Persons working for You or Us, either in employment or hired on a temporary basis.</w:t>
            </w:r>
          </w:p>
          <w:p w14:paraId="2C52DD34" w14:textId="77777777" w:rsidR="00D47BD4" w:rsidRPr="00D47BD4" w:rsidRDefault="00D47BD4">
            <w:pPr>
              <w:pStyle w:val="Geenafstand"/>
              <w:jc w:val="both"/>
              <w:rPr>
                <w:sz w:val="20"/>
                <w:szCs w:val="20"/>
              </w:rPr>
            </w:pPr>
          </w:p>
        </w:tc>
      </w:tr>
      <w:tr w:rsidR="00D47BD4" w:rsidRPr="00D47BD4" w14:paraId="506DCFA3" w14:textId="77777777" w:rsidTr="00D01250">
        <w:trPr>
          <w:trHeight w:val="258"/>
        </w:trPr>
        <w:tc>
          <w:tcPr>
            <w:tcW w:w="2961" w:type="dxa"/>
          </w:tcPr>
          <w:p w14:paraId="5CB22DB4" w14:textId="77777777" w:rsidR="00D47BD4" w:rsidRPr="00D47BD4" w:rsidRDefault="00D47BD4">
            <w:pPr>
              <w:pStyle w:val="Geenafstand"/>
              <w:rPr>
                <w:sz w:val="20"/>
                <w:szCs w:val="20"/>
              </w:rPr>
            </w:pPr>
            <w:r w:rsidRPr="00A9629B">
              <w:rPr>
                <w:sz w:val="20"/>
              </w:rPr>
              <w:t>Underlying Assignment:</w:t>
            </w:r>
          </w:p>
        </w:tc>
        <w:tc>
          <w:tcPr>
            <w:tcW w:w="6327" w:type="dxa"/>
          </w:tcPr>
          <w:p w14:paraId="3A90324D" w14:textId="77777777" w:rsidR="00D47BD4" w:rsidRPr="00D47BD4" w:rsidRDefault="00D47BD4">
            <w:pPr>
              <w:pStyle w:val="Geenafstand"/>
              <w:jc w:val="both"/>
              <w:rPr>
                <w:sz w:val="20"/>
                <w:szCs w:val="20"/>
              </w:rPr>
            </w:pPr>
            <w:r w:rsidRPr="00A9629B">
              <w:rPr>
                <w:sz w:val="20"/>
              </w:rPr>
              <w:t>The assignment as referred to in the recitals under A.</w:t>
            </w:r>
          </w:p>
          <w:p w14:paraId="48E691A2" w14:textId="77777777" w:rsidR="00D47BD4" w:rsidRPr="00D47BD4" w:rsidRDefault="00D47BD4">
            <w:pPr>
              <w:pStyle w:val="Geenafstand"/>
              <w:jc w:val="both"/>
              <w:rPr>
                <w:sz w:val="20"/>
                <w:szCs w:val="20"/>
              </w:rPr>
            </w:pPr>
          </w:p>
        </w:tc>
      </w:tr>
      <w:tr w:rsidR="00D47BD4" w:rsidRPr="00D47BD4" w14:paraId="4AB152CC" w14:textId="77777777" w:rsidTr="00D01250">
        <w:tc>
          <w:tcPr>
            <w:tcW w:w="2961" w:type="dxa"/>
          </w:tcPr>
          <w:p w14:paraId="1FC38D9D" w14:textId="77777777" w:rsidR="00D47BD4" w:rsidRPr="00D47BD4" w:rsidRDefault="00D47BD4">
            <w:pPr>
              <w:pStyle w:val="Geenafstand"/>
              <w:rPr>
                <w:sz w:val="20"/>
                <w:szCs w:val="20"/>
              </w:rPr>
            </w:pPr>
            <w:r w:rsidRPr="00A9629B">
              <w:rPr>
                <w:sz w:val="20"/>
              </w:rPr>
              <w:t>Agreement:</w:t>
            </w:r>
          </w:p>
        </w:tc>
        <w:tc>
          <w:tcPr>
            <w:tcW w:w="6327" w:type="dxa"/>
          </w:tcPr>
          <w:p w14:paraId="2C1C7B01" w14:textId="36358E84" w:rsidR="00D47BD4" w:rsidRPr="00D47BD4" w:rsidRDefault="00D47BD4">
            <w:pPr>
              <w:pStyle w:val="Geenafstand"/>
              <w:jc w:val="both"/>
              <w:rPr>
                <w:sz w:val="20"/>
                <w:szCs w:val="20"/>
              </w:rPr>
            </w:pPr>
            <w:r w:rsidRPr="00A9629B">
              <w:rPr>
                <w:sz w:val="20"/>
              </w:rPr>
              <w:t xml:space="preserve">This </w:t>
            </w:r>
            <w:r w:rsidR="00EB55C2" w:rsidRPr="00A9629B">
              <w:rPr>
                <w:sz w:val="20"/>
              </w:rPr>
              <w:t xml:space="preserve">Controller – Controller </w:t>
            </w:r>
            <w:r w:rsidR="00EB55C2">
              <w:rPr>
                <w:sz w:val="20"/>
              </w:rPr>
              <w:t>a</w:t>
            </w:r>
            <w:r w:rsidRPr="00A9629B">
              <w:rPr>
                <w:sz w:val="20"/>
              </w:rPr>
              <w:t>greement.</w:t>
            </w:r>
          </w:p>
          <w:p w14:paraId="5BA7AD54" w14:textId="77777777" w:rsidR="00D47BD4" w:rsidRPr="00D47BD4" w:rsidRDefault="00D47BD4">
            <w:pPr>
              <w:pStyle w:val="Geenafstand"/>
              <w:jc w:val="both"/>
              <w:rPr>
                <w:sz w:val="20"/>
                <w:szCs w:val="20"/>
              </w:rPr>
            </w:pPr>
          </w:p>
        </w:tc>
      </w:tr>
      <w:tr w:rsidR="00D47BD4" w:rsidRPr="00D47BD4" w14:paraId="139ECF7D" w14:textId="77777777" w:rsidTr="00D01250">
        <w:tc>
          <w:tcPr>
            <w:tcW w:w="2961" w:type="dxa"/>
          </w:tcPr>
          <w:p w14:paraId="0FC22970" w14:textId="77777777" w:rsidR="00D47BD4" w:rsidRPr="00D47BD4" w:rsidRDefault="00D47BD4">
            <w:pPr>
              <w:pStyle w:val="Geenafstand"/>
              <w:rPr>
                <w:sz w:val="20"/>
                <w:szCs w:val="20"/>
              </w:rPr>
            </w:pPr>
            <w:r w:rsidRPr="00A9629B">
              <w:rPr>
                <w:sz w:val="20"/>
              </w:rPr>
              <w:t xml:space="preserve">Personal Data: </w:t>
            </w:r>
          </w:p>
        </w:tc>
        <w:tc>
          <w:tcPr>
            <w:tcW w:w="6327" w:type="dxa"/>
          </w:tcPr>
          <w:p w14:paraId="26BC728C" w14:textId="3FA93339" w:rsidR="00D47BD4" w:rsidRPr="00D47BD4" w:rsidRDefault="00D47BD4">
            <w:pPr>
              <w:pStyle w:val="Geenafstand"/>
              <w:jc w:val="both"/>
              <w:rPr>
                <w:sz w:val="20"/>
                <w:szCs w:val="20"/>
              </w:rPr>
            </w:pPr>
            <w:r w:rsidRPr="00A9629B">
              <w:rPr>
                <w:sz w:val="20"/>
              </w:rPr>
              <w:t xml:space="preserve">Any information relating to an identified or identifiable natural person ("the Data Subject") processed within the scope of the "Underlying Assignment"; an identifiable natural person is considered to be any natural person who can be identified, directly or indirectly, in particular by reference to an identifier such as a name, identification number, location </w:t>
            </w:r>
            <w:r w:rsidR="00EB55C2" w:rsidRPr="00A9629B">
              <w:rPr>
                <w:sz w:val="20"/>
              </w:rPr>
              <w:t>d</w:t>
            </w:r>
            <w:r w:rsidR="00EB55C2">
              <w:rPr>
                <w:sz w:val="20"/>
              </w:rPr>
              <w:t>etails</w:t>
            </w:r>
            <w:r w:rsidRPr="00A9629B">
              <w:rPr>
                <w:sz w:val="20"/>
              </w:rPr>
              <w:t xml:space="preserve">, an online identifier or to one or more elements specific to that natural person's physical, physiological, genetic, mental, psychological, economic, cultural or social identity. </w:t>
            </w:r>
          </w:p>
          <w:p w14:paraId="26833BEE" w14:textId="77777777" w:rsidR="00D47BD4" w:rsidRPr="00D47BD4" w:rsidRDefault="00D47BD4">
            <w:pPr>
              <w:pStyle w:val="Geenafstand"/>
              <w:jc w:val="both"/>
              <w:rPr>
                <w:sz w:val="20"/>
                <w:szCs w:val="20"/>
              </w:rPr>
            </w:pPr>
          </w:p>
        </w:tc>
      </w:tr>
      <w:tr w:rsidR="00D47BD4" w:rsidRPr="00D47BD4" w14:paraId="00CAC92F" w14:textId="77777777" w:rsidTr="00D01250">
        <w:tc>
          <w:tcPr>
            <w:tcW w:w="2961" w:type="dxa"/>
          </w:tcPr>
          <w:p w14:paraId="4E8AA076" w14:textId="77777777" w:rsidR="00D47BD4" w:rsidRPr="00D47BD4" w:rsidRDefault="00D47BD4">
            <w:pPr>
              <w:pStyle w:val="Geenafstand"/>
              <w:rPr>
                <w:sz w:val="20"/>
                <w:szCs w:val="20"/>
              </w:rPr>
            </w:pPr>
            <w:r w:rsidRPr="00A9629B">
              <w:rPr>
                <w:sz w:val="20"/>
              </w:rPr>
              <w:t>Processing / Processing Operation:</w:t>
            </w:r>
          </w:p>
        </w:tc>
        <w:tc>
          <w:tcPr>
            <w:tcW w:w="6327" w:type="dxa"/>
          </w:tcPr>
          <w:p w14:paraId="373AB598" w14:textId="77777777" w:rsidR="00D47BD4" w:rsidRPr="00D47BD4" w:rsidRDefault="00D47BD4">
            <w:pPr>
              <w:pStyle w:val="Geenafstand"/>
              <w:jc w:val="both"/>
              <w:rPr>
                <w:sz w:val="20"/>
                <w:szCs w:val="20"/>
              </w:rPr>
            </w:pPr>
            <w:r w:rsidRPr="00A9629B">
              <w:rPr>
                <w:sz w:val="20"/>
              </w:rPr>
              <w:t>A processing operation or set of processing operations with respect to personal data or sets of personal data, carried out by means of automated processes or otherwise, such as collection, recording, organisation, storage, updating or modification, retrieval, consultation, use, dissemination by means of transmission, distribution or making available in any other form, aligning or combining, blocking, erasure or destruction.</w:t>
            </w:r>
          </w:p>
          <w:p w14:paraId="6255632E" w14:textId="77777777" w:rsidR="00D47BD4" w:rsidRPr="00D47BD4" w:rsidRDefault="00D47BD4">
            <w:pPr>
              <w:pStyle w:val="Geenafstand"/>
              <w:jc w:val="both"/>
              <w:rPr>
                <w:sz w:val="20"/>
                <w:szCs w:val="20"/>
              </w:rPr>
            </w:pPr>
          </w:p>
        </w:tc>
      </w:tr>
      <w:tr w:rsidR="00D47BD4" w:rsidRPr="00D47BD4" w14:paraId="574A1017" w14:textId="77777777" w:rsidTr="00D01250">
        <w:tc>
          <w:tcPr>
            <w:tcW w:w="2961" w:type="dxa"/>
          </w:tcPr>
          <w:p w14:paraId="7E94D202" w14:textId="77777777" w:rsidR="00D47BD4" w:rsidRPr="00D47BD4" w:rsidRDefault="00D47BD4">
            <w:pPr>
              <w:pStyle w:val="Geenafstand"/>
              <w:rPr>
                <w:sz w:val="20"/>
                <w:szCs w:val="20"/>
              </w:rPr>
            </w:pPr>
            <w:r w:rsidRPr="00A9629B">
              <w:rPr>
                <w:sz w:val="20"/>
              </w:rPr>
              <w:t>GDPR</w:t>
            </w:r>
          </w:p>
        </w:tc>
        <w:tc>
          <w:tcPr>
            <w:tcW w:w="6327" w:type="dxa"/>
          </w:tcPr>
          <w:p w14:paraId="2F1B5959" w14:textId="77777777" w:rsidR="00D47BD4" w:rsidRDefault="00D47BD4">
            <w:pPr>
              <w:pStyle w:val="Geenafstand"/>
              <w:jc w:val="both"/>
              <w:rPr>
                <w:sz w:val="20"/>
              </w:rPr>
            </w:pPr>
            <w:r w:rsidRPr="00A9629B">
              <w:rPr>
                <w:sz w:val="20"/>
              </w:rPr>
              <w:t>General Data Protection Regulation, including the implementation act of this regulation. The GDPR has replaced the Personal Data Protection Act with effect from 25 May 2018.</w:t>
            </w:r>
          </w:p>
          <w:p w14:paraId="2E4990F0" w14:textId="03E624B8" w:rsidR="004A2004" w:rsidRPr="00D47BD4" w:rsidRDefault="004A2004">
            <w:pPr>
              <w:pStyle w:val="Geenafstand"/>
              <w:jc w:val="both"/>
              <w:rPr>
                <w:sz w:val="20"/>
                <w:szCs w:val="20"/>
              </w:rPr>
            </w:pPr>
          </w:p>
        </w:tc>
      </w:tr>
    </w:tbl>
    <w:p w14:paraId="4F583871" w14:textId="77777777" w:rsidR="00D47BD4" w:rsidRPr="00D47BD4" w:rsidRDefault="00D47BD4">
      <w:pPr>
        <w:pStyle w:val="Geenafstand"/>
        <w:rPr>
          <w:sz w:val="20"/>
          <w:szCs w:val="20"/>
        </w:rPr>
      </w:pPr>
    </w:p>
    <w:p w14:paraId="067A2B15" w14:textId="77777777" w:rsidR="00D47BD4" w:rsidRPr="00D47BD4" w:rsidRDefault="00D47BD4">
      <w:pPr>
        <w:pStyle w:val="Geenafstand"/>
        <w:rPr>
          <w:b/>
          <w:u w:val="single"/>
        </w:rPr>
      </w:pPr>
      <w:r>
        <w:rPr>
          <w:b/>
          <w:u w:val="single"/>
        </w:rPr>
        <w:lastRenderedPageBreak/>
        <w:t>2. Applicability and duration</w:t>
      </w:r>
    </w:p>
    <w:p w14:paraId="17D38AEA" w14:textId="77777777" w:rsidR="00D47BD4" w:rsidRPr="00D47BD4" w:rsidRDefault="00D47BD4">
      <w:pPr>
        <w:pStyle w:val="Geenafstand"/>
      </w:pPr>
    </w:p>
    <w:p w14:paraId="2984F505" w14:textId="77777777" w:rsidR="00D47BD4" w:rsidRPr="00D47BD4" w:rsidRDefault="00D47BD4">
      <w:pPr>
        <w:pStyle w:val="Geenafstand"/>
        <w:ind w:left="705" w:hanging="705"/>
        <w:jc w:val="both"/>
      </w:pPr>
      <w:r>
        <w:t>2.1</w:t>
      </w:r>
      <w:r>
        <w:tab/>
        <w:t>This Agreement shall apply to any Processing Operation carried out by Us as the Contractor/Controller on the basis of the Underlying Assignment and any personal data breaches that occur in relation to those data.</w:t>
      </w:r>
    </w:p>
    <w:p w14:paraId="6CB89BA1" w14:textId="77777777" w:rsidR="00D47BD4" w:rsidRPr="00D47BD4" w:rsidRDefault="00D47BD4">
      <w:pPr>
        <w:pStyle w:val="Geenafstand"/>
        <w:ind w:left="705" w:hanging="705"/>
        <w:jc w:val="both"/>
      </w:pPr>
    </w:p>
    <w:p w14:paraId="01374F07" w14:textId="1D720668" w:rsidR="00D47BD4" w:rsidRPr="00D47BD4" w:rsidRDefault="00D47BD4">
      <w:pPr>
        <w:pStyle w:val="Geenafstand"/>
        <w:ind w:left="705" w:hanging="705"/>
        <w:jc w:val="both"/>
      </w:pPr>
      <w:r>
        <w:t>2.2</w:t>
      </w:r>
      <w:r>
        <w:tab/>
        <w:t>This Agreement shall enter into force on the date on which the Underlying Assignment takes effect and shall end on the date on which We no longer possess any Personal Data within the scope of the Underlying Assignment. It is not possible to terminate this Agreement prematurely. We may have a long or longer retention period on the basis of legislation and regulations.</w:t>
      </w:r>
      <w:r w:rsidR="00DD755B">
        <w:t xml:space="preserve"> </w:t>
      </w:r>
    </w:p>
    <w:p w14:paraId="41DF636F" w14:textId="77777777" w:rsidR="00D47BD4" w:rsidRPr="00D47BD4" w:rsidRDefault="00D47BD4">
      <w:pPr>
        <w:pStyle w:val="Geenafstand"/>
        <w:ind w:left="705" w:hanging="705"/>
        <w:jc w:val="both"/>
      </w:pPr>
    </w:p>
    <w:p w14:paraId="31F67364" w14:textId="77777777" w:rsidR="00D47BD4" w:rsidRPr="00D47BD4" w:rsidRDefault="00D47BD4">
      <w:pPr>
        <w:pStyle w:val="Geenafstand"/>
        <w:ind w:left="705" w:hanging="705"/>
        <w:jc w:val="both"/>
      </w:pPr>
      <w:r>
        <w:t>2.3</w:t>
      </w:r>
      <w:r>
        <w:tab/>
        <w:t xml:space="preserve">Article 6 of this Agreement shall continue to apply even after the Agreement (or the Underlying Assignment) has been terminated. </w:t>
      </w:r>
    </w:p>
    <w:p w14:paraId="56B58F01" w14:textId="77777777" w:rsidR="00D47BD4" w:rsidRPr="00D47BD4" w:rsidRDefault="00D47BD4">
      <w:pPr>
        <w:pStyle w:val="Geenafstand"/>
        <w:ind w:left="705" w:hanging="705"/>
        <w:jc w:val="both"/>
      </w:pPr>
    </w:p>
    <w:p w14:paraId="0E3C04BD" w14:textId="77777777" w:rsidR="00D47BD4" w:rsidRPr="00D47BD4" w:rsidRDefault="00D47BD4">
      <w:pPr>
        <w:pStyle w:val="Geenafstand"/>
        <w:ind w:left="705" w:hanging="705"/>
        <w:rPr>
          <w:b/>
          <w:u w:val="single"/>
        </w:rPr>
      </w:pPr>
      <w:r>
        <w:rPr>
          <w:b/>
          <w:u w:val="single"/>
        </w:rPr>
        <w:t>3. Rights of Data Subjects</w:t>
      </w:r>
    </w:p>
    <w:p w14:paraId="2F8E854D" w14:textId="77777777" w:rsidR="00D47BD4" w:rsidRPr="00D47BD4" w:rsidRDefault="00D47BD4">
      <w:pPr>
        <w:pStyle w:val="Geenafstand"/>
        <w:ind w:left="705" w:hanging="705"/>
        <w:rPr>
          <w:b/>
          <w:u w:val="single"/>
        </w:rPr>
      </w:pPr>
    </w:p>
    <w:p w14:paraId="099CAF1F" w14:textId="591EE04E" w:rsidR="00D47BD4" w:rsidRPr="00D47BD4" w:rsidRDefault="00D47BD4">
      <w:pPr>
        <w:pStyle w:val="Geenafstand"/>
        <w:ind w:left="705" w:hanging="705"/>
        <w:jc w:val="both"/>
      </w:pPr>
      <w:r>
        <w:t>3.1</w:t>
      </w:r>
      <w:r>
        <w:tab/>
        <w:t>If We receive requests (directly) from the Data Subject(s) to exercise their rights (for example, access</w:t>
      </w:r>
      <w:r w:rsidR="00C27B15">
        <w:t xml:space="preserve"> to</w:t>
      </w:r>
      <w:r>
        <w:t xml:space="preserve">, modification or deletion of Personal Data), We may forward these requests to You for further handling. Due to the nature of the Underlying Assignment and the contextual processing responsibility that rests with Us, it is not always appropriate for us to handle (directly) requests from the Data Subject(s) to exercise their rights. In such cases We shall forward these requests to You. You shall handle these requests, whereby We can be of assistance to you if We have access to </w:t>
      </w:r>
      <w:r w:rsidR="00C27B15">
        <w:t xml:space="preserve">this </w:t>
      </w:r>
      <w:r>
        <w:t>Personal Data within the scope of the Underlying Assignment.</w:t>
      </w:r>
    </w:p>
    <w:p w14:paraId="5AF6EB10" w14:textId="77777777" w:rsidR="00D47BD4" w:rsidRPr="00D47BD4" w:rsidRDefault="00D47BD4">
      <w:pPr>
        <w:pStyle w:val="Geenafstand"/>
      </w:pPr>
    </w:p>
    <w:p w14:paraId="4DA4A47F" w14:textId="77777777" w:rsidR="00D47BD4" w:rsidRPr="00D47BD4" w:rsidRDefault="00D47BD4">
      <w:pPr>
        <w:pStyle w:val="Geenafstand"/>
        <w:ind w:left="705" w:hanging="705"/>
        <w:rPr>
          <w:b/>
          <w:u w:val="single"/>
        </w:rPr>
      </w:pPr>
      <w:r>
        <w:rPr>
          <w:b/>
          <w:u w:val="single"/>
        </w:rPr>
        <w:t>4. Security measures</w:t>
      </w:r>
    </w:p>
    <w:p w14:paraId="40477441" w14:textId="77777777" w:rsidR="00D47BD4" w:rsidRPr="00D47BD4" w:rsidRDefault="00D47BD4">
      <w:pPr>
        <w:pStyle w:val="Geenafstand"/>
        <w:ind w:left="705" w:hanging="705"/>
      </w:pPr>
    </w:p>
    <w:p w14:paraId="1043AC78" w14:textId="4C509CF8" w:rsidR="00D47BD4" w:rsidRPr="00D47BD4" w:rsidRDefault="00D47BD4">
      <w:pPr>
        <w:pStyle w:val="Geenafstand"/>
        <w:ind w:left="705" w:hanging="705"/>
        <w:jc w:val="both"/>
      </w:pPr>
      <w:r>
        <w:t>4.1</w:t>
      </w:r>
      <w:r>
        <w:tab/>
        <w:t>For the transfer of Personal Data between the Parties, We have agreed on the security measures set out in the Annex to this Agreement. In implementing the security measures, account has been taken of the risks to be mitigated, the state of the art</w:t>
      </w:r>
      <w:r w:rsidR="00C27B15">
        <w:t>,</w:t>
      </w:r>
      <w:r>
        <w:t xml:space="preserve"> and the costs of the security measures. </w:t>
      </w:r>
    </w:p>
    <w:p w14:paraId="0F3C3CAE" w14:textId="77777777" w:rsidR="00D47BD4" w:rsidRPr="00D47BD4" w:rsidRDefault="00D47BD4">
      <w:pPr>
        <w:pStyle w:val="Geenafstand"/>
        <w:ind w:left="705" w:hanging="705"/>
        <w:jc w:val="both"/>
      </w:pPr>
    </w:p>
    <w:p w14:paraId="14F0A4D3" w14:textId="77777777" w:rsidR="00D47BD4" w:rsidRPr="00D47BD4" w:rsidRDefault="00D47BD4">
      <w:pPr>
        <w:pStyle w:val="Geenafstand"/>
        <w:ind w:left="705" w:hanging="705"/>
        <w:rPr>
          <w:b/>
          <w:u w:val="single"/>
        </w:rPr>
      </w:pPr>
      <w:r>
        <w:rPr>
          <w:b/>
          <w:u w:val="single"/>
        </w:rPr>
        <w:t xml:space="preserve">5. Data Breaches </w:t>
      </w:r>
    </w:p>
    <w:p w14:paraId="6EEFDC4F" w14:textId="77777777" w:rsidR="00D47BD4" w:rsidRPr="00D47BD4" w:rsidRDefault="00D47BD4">
      <w:pPr>
        <w:pStyle w:val="Geenafstand"/>
        <w:ind w:left="705" w:hanging="705"/>
        <w:rPr>
          <w:b/>
          <w:u w:val="single"/>
        </w:rPr>
      </w:pPr>
    </w:p>
    <w:p w14:paraId="02E3C29B" w14:textId="7F33CE31" w:rsidR="00D47BD4" w:rsidRPr="00D47BD4" w:rsidRDefault="00D47BD4">
      <w:pPr>
        <w:pStyle w:val="Geenafstand"/>
        <w:ind w:left="705" w:hanging="705"/>
        <w:jc w:val="both"/>
      </w:pPr>
      <w:r>
        <w:t>5.1</w:t>
      </w:r>
      <w:r>
        <w:tab/>
        <w:t xml:space="preserve">In the event of a Data Breach involving data processed within the scope of this assignment, </w:t>
      </w:r>
      <w:r w:rsidR="00C27B15">
        <w:t xml:space="preserve">We </w:t>
      </w:r>
      <w:r>
        <w:t xml:space="preserve">shall inform </w:t>
      </w:r>
      <w:r w:rsidR="00C27B15">
        <w:t xml:space="preserve">You </w:t>
      </w:r>
      <w:r>
        <w:t>accordingly.</w:t>
      </w:r>
      <w:r w:rsidR="00DD755B">
        <w:t xml:space="preserve"> </w:t>
      </w:r>
    </w:p>
    <w:p w14:paraId="76AD6A2E" w14:textId="77777777" w:rsidR="00D47BD4" w:rsidRPr="00D47BD4" w:rsidRDefault="00D47BD4">
      <w:pPr>
        <w:pStyle w:val="Geenafstand"/>
        <w:ind w:left="705" w:hanging="705"/>
        <w:jc w:val="both"/>
      </w:pPr>
    </w:p>
    <w:p w14:paraId="75CF578D" w14:textId="2C24155A" w:rsidR="00D47BD4" w:rsidRPr="00D47BD4" w:rsidRDefault="00D47BD4">
      <w:pPr>
        <w:pStyle w:val="Geenafstand"/>
        <w:ind w:left="705" w:hanging="705"/>
        <w:jc w:val="both"/>
      </w:pPr>
      <w:r>
        <w:t>5.2</w:t>
      </w:r>
      <w:r>
        <w:tab/>
        <w:t xml:space="preserve">In the event of a Data Breach, We shall, as </w:t>
      </w:r>
      <w:r w:rsidR="00C27B15">
        <w:t xml:space="preserve">the </w:t>
      </w:r>
      <w:r>
        <w:t>Controller, report this independently to the Data Protection Authority, if necessary. Due to the nature of the Underlying Assignment and the contextual processing responsibility that rests with Us, it is not always logical for Us to inform the Data Subjects directly - if necessary - about a Data Breach. Where appropriate, We shall jointly determine which Party, from the perspective of the Data Subjects, is the most logical one to report the Data Breach to the Data Subjects.</w:t>
      </w:r>
    </w:p>
    <w:p w14:paraId="2E5EC245" w14:textId="77777777" w:rsidR="00D47BD4" w:rsidRPr="00D47BD4" w:rsidRDefault="00D47BD4">
      <w:pPr>
        <w:pStyle w:val="Geenafstand"/>
        <w:ind w:left="705" w:hanging="705"/>
        <w:rPr>
          <w:b/>
          <w:u w:val="single"/>
        </w:rPr>
      </w:pPr>
    </w:p>
    <w:p w14:paraId="044FA943" w14:textId="77777777" w:rsidR="00D47BD4" w:rsidRPr="00D47BD4" w:rsidRDefault="00D47BD4">
      <w:pPr>
        <w:pStyle w:val="Geenafstand"/>
        <w:ind w:left="705" w:hanging="705"/>
        <w:rPr>
          <w:b/>
          <w:u w:val="single"/>
        </w:rPr>
      </w:pPr>
      <w:r>
        <w:rPr>
          <w:b/>
          <w:u w:val="single"/>
        </w:rPr>
        <w:t>6. Liability</w:t>
      </w:r>
    </w:p>
    <w:p w14:paraId="7F1D1ACB" w14:textId="77777777" w:rsidR="00D47BD4" w:rsidRPr="00D47BD4" w:rsidRDefault="00D47BD4">
      <w:pPr>
        <w:pStyle w:val="Geenafstand"/>
        <w:ind w:left="705" w:hanging="705"/>
        <w:rPr>
          <w:b/>
          <w:u w:val="single"/>
        </w:rPr>
      </w:pPr>
    </w:p>
    <w:p w14:paraId="1A99EB70" w14:textId="77777777" w:rsidR="00D47BD4" w:rsidRPr="00D47BD4" w:rsidRDefault="00D47BD4">
      <w:pPr>
        <w:pStyle w:val="Geenafstand"/>
        <w:ind w:left="705" w:hanging="705"/>
        <w:jc w:val="both"/>
      </w:pPr>
      <w:r>
        <w:t>6.1</w:t>
      </w:r>
      <w:r>
        <w:tab/>
        <w:t xml:space="preserve">You guarantee that the Processing of Personal Data on the basis of this Agreement is not unlawful and does not infringe on the rights of the Data Subject(s). </w:t>
      </w:r>
    </w:p>
    <w:p w14:paraId="1DE9EDBF" w14:textId="77777777" w:rsidR="00D47BD4" w:rsidRPr="00D47BD4" w:rsidRDefault="00D47BD4">
      <w:pPr>
        <w:pStyle w:val="Geenafstand"/>
        <w:ind w:left="705" w:hanging="705"/>
        <w:jc w:val="both"/>
      </w:pPr>
    </w:p>
    <w:p w14:paraId="32528BDC" w14:textId="017A36EC" w:rsidR="00D47BD4" w:rsidRPr="00D47BD4" w:rsidRDefault="00D47BD4">
      <w:pPr>
        <w:pStyle w:val="Geenafstand"/>
        <w:ind w:left="705" w:hanging="705"/>
        <w:jc w:val="both"/>
      </w:pPr>
      <w:r>
        <w:t>6.2</w:t>
      </w:r>
      <w:r>
        <w:tab/>
        <w:t xml:space="preserve">We shall not be liable for any damage suffered as a result of Your failure to comply with the GDPR or other laws or regulations. You shall also indemnify </w:t>
      </w:r>
      <w:r w:rsidR="00C27B15">
        <w:t xml:space="preserve">Us </w:t>
      </w:r>
      <w:r>
        <w:t xml:space="preserve">against claims by third parties </w:t>
      </w:r>
      <w:r>
        <w:lastRenderedPageBreak/>
        <w:t>on the basis of such damage. Indemnification shall apply not only to the damage that Third Parties may have suffered (both material and immaterial), but also to the costs We must incur in connection therewith, for example in any legal proceedings, and to the costs of any fines imposed on Us as a result of Your acts.</w:t>
      </w:r>
    </w:p>
    <w:p w14:paraId="23CC37BD" w14:textId="77777777" w:rsidR="00D47BD4" w:rsidRPr="00D47BD4" w:rsidRDefault="00D47BD4">
      <w:pPr>
        <w:pStyle w:val="Geenafstand"/>
        <w:ind w:left="705" w:hanging="705"/>
      </w:pPr>
    </w:p>
    <w:p w14:paraId="6C8305B4" w14:textId="4899BECC" w:rsidR="00D47BD4" w:rsidRPr="00A9629B" w:rsidRDefault="00D47BD4">
      <w:pPr>
        <w:pStyle w:val="Geenafstand"/>
        <w:ind w:left="705" w:hanging="705"/>
        <w:jc w:val="both"/>
      </w:pPr>
      <w:r>
        <w:t>6.3</w:t>
      </w:r>
      <w:r>
        <w:tab/>
        <w:t xml:space="preserve">The limitation of Our liability agreed in the Underlying Assignment and associated General Terms and Conditions shall apply to the obligations set out in this Agreement, on the understanding that one or more claims for </w:t>
      </w:r>
      <w:r w:rsidR="00C27B15">
        <w:t xml:space="preserve">compensation </w:t>
      </w:r>
      <w:r>
        <w:t>under this Agreement and/or the Underlying Assignment shall never result in the limitation being exceeded.</w:t>
      </w:r>
    </w:p>
    <w:p w14:paraId="797EC57F" w14:textId="77777777" w:rsidR="00D47BD4" w:rsidRPr="00D47BD4" w:rsidRDefault="00D47BD4">
      <w:pPr>
        <w:pStyle w:val="Geenafstand"/>
        <w:ind w:left="705" w:hanging="705"/>
        <w:jc w:val="both"/>
      </w:pPr>
    </w:p>
    <w:p w14:paraId="0F6B83C3" w14:textId="77777777" w:rsidR="00D47BD4" w:rsidRPr="00D47BD4" w:rsidRDefault="00D47BD4">
      <w:pPr>
        <w:pStyle w:val="Geenafstand"/>
        <w:ind w:left="705" w:hanging="705"/>
        <w:rPr>
          <w:b/>
          <w:u w:val="single"/>
        </w:rPr>
      </w:pPr>
      <w:r>
        <w:rPr>
          <w:b/>
          <w:u w:val="single"/>
        </w:rPr>
        <w:t>7. Final provisions</w:t>
      </w:r>
    </w:p>
    <w:p w14:paraId="2AAA959A" w14:textId="77777777" w:rsidR="00D47BD4" w:rsidRPr="00D47BD4" w:rsidRDefault="00D47BD4">
      <w:pPr>
        <w:pStyle w:val="Geenafstand"/>
        <w:ind w:left="705" w:hanging="705"/>
        <w:rPr>
          <w:b/>
          <w:u w:val="single"/>
        </w:rPr>
      </w:pPr>
    </w:p>
    <w:p w14:paraId="6D39EC8A" w14:textId="77777777" w:rsidR="00D47BD4" w:rsidRPr="00D47BD4" w:rsidRDefault="00D47BD4">
      <w:pPr>
        <w:pStyle w:val="Geenafstand"/>
        <w:ind w:left="705" w:hanging="705"/>
        <w:jc w:val="both"/>
      </w:pPr>
      <w:r>
        <w:t>7.1</w:t>
      </w:r>
      <w:r>
        <w:tab/>
        <w:t>Unless We have jointly agreed otherwise in writing, You and We shall not be permitted to transfer this Agreement and the rights and obligations under this Agreement to another party.</w:t>
      </w:r>
    </w:p>
    <w:p w14:paraId="623461CB" w14:textId="77777777" w:rsidR="00D47BD4" w:rsidRPr="00D47BD4" w:rsidRDefault="00D47BD4">
      <w:pPr>
        <w:pStyle w:val="Geenafstand"/>
        <w:ind w:left="705" w:hanging="705"/>
        <w:jc w:val="both"/>
      </w:pPr>
    </w:p>
    <w:p w14:paraId="0E9885BC" w14:textId="6D7B7868" w:rsidR="00D47BD4" w:rsidRPr="00D47BD4" w:rsidRDefault="00D47BD4">
      <w:pPr>
        <w:pStyle w:val="Geenafstand"/>
        <w:ind w:left="705" w:hanging="705"/>
        <w:jc w:val="both"/>
      </w:pPr>
      <w:r>
        <w:t>7.2</w:t>
      </w:r>
      <w:r>
        <w:tab/>
        <w:t>Additions and amendments to this Agreement shall be valid only if made in writing. The term "in writing" shall also include amendments communicated by email, followed by agreement by email from the other party.</w:t>
      </w:r>
      <w:r w:rsidR="00DD755B">
        <w:t xml:space="preserve"> </w:t>
      </w:r>
    </w:p>
    <w:p w14:paraId="0C4F40BC" w14:textId="77777777" w:rsidR="00D47BD4" w:rsidRPr="00D47BD4" w:rsidRDefault="00D47BD4">
      <w:pPr>
        <w:pStyle w:val="Geenafstand"/>
        <w:ind w:left="709" w:hanging="709"/>
      </w:pPr>
    </w:p>
    <w:p w14:paraId="5773320E" w14:textId="77777777" w:rsidR="00D47BD4" w:rsidRPr="00D47BD4" w:rsidRDefault="00D47BD4">
      <w:pPr>
        <w:pStyle w:val="Geenafstand"/>
        <w:ind w:left="709" w:hanging="709"/>
      </w:pPr>
      <w:r>
        <w:t>7.3</w:t>
      </w:r>
      <w:r>
        <w:tab/>
        <w:t>If requested, the Parties shall cooperate with the supervisory authority in the performance of its duties.</w:t>
      </w:r>
    </w:p>
    <w:p w14:paraId="7954210B" w14:textId="77777777" w:rsidR="00D47BD4" w:rsidRPr="00D47BD4" w:rsidRDefault="00D47BD4">
      <w:pPr>
        <w:pStyle w:val="Geenafstand"/>
        <w:ind w:left="705" w:hanging="705"/>
        <w:jc w:val="both"/>
      </w:pPr>
    </w:p>
    <w:p w14:paraId="2B849AA8" w14:textId="77777777" w:rsidR="00D47BD4" w:rsidRPr="00D47BD4" w:rsidRDefault="00D47BD4">
      <w:pPr>
        <w:pStyle w:val="Geenafstand"/>
        <w:ind w:left="705" w:hanging="705"/>
        <w:jc w:val="both"/>
      </w:pPr>
      <w:r>
        <w:t>7.4</w:t>
      </w:r>
      <w:r>
        <w:tab/>
        <w:t>This Agreement shall be governed by the laws of the Netherlands and shall be subject to the jurisdiction of the courts of the Netherlands in all disputes ensuing from or relating to this Agreement.</w:t>
      </w:r>
    </w:p>
    <w:p w14:paraId="192DFC05" w14:textId="77777777" w:rsidR="00D47BD4" w:rsidRPr="00D47BD4" w:rsidRDefault="00D47BD4">
      <w:pPr>
        <w:pStyle w:val="Geenafstand"/>
        <w:ind w:left="705" w:hanging="705"/>
        <w:jc w:val="both"/>
      </w:pPr>
    </w:p>
    <w:p w14:paraId="142A0F41" w14:textId="77777777" w:rsidR="00D47BD4" w:rsidRPr="00D47BD4" w:rsidRDefault="00D47BD4">
      <w:pPr>
        <w:pStyle w:val="Geenafstand"/>
        <w:ind w:left="705" w:hanging="705"/>
        <w:jc w:val="both"/>
      </w:pPr>
      <w:r>
        <w:t>7.5</w:t>
      </w:r>
      <w:r>
        <w:tab/>
        <w:t xml:space="preserve">This Agreement shall have primacy over any other agreements concluded by Us with You. If You apply General Terms and Conditions, these shall not apply to this Agreement. The provisions of this Agreement shall prevail over the provisions of Our General Terms and Conditions, unless explicit reference is made to a provision in the General Terms and Conditions. </w:t>
      </w:r>
    </w:p>
    <w:p w14:paraId="2C97F65F" w14:textId="77777777" w:rsidR="00D47BD4" w:rsidRPr="00D47BD4" w:rsidRDefault="00D47BD4">
      <w:pPr>
        <w:pStyle w:val="Geenafstand"/>
        <w:ind w:left="705" w:hanging="705"/>
        <w:jc w:val="both"/>
      </w:pPr>
    </w:p>
    <w:p w14:paraId="5CD37878" w14:textId="77777777" w:rsidR="00D47BD4" w:rsidRPr="00D47BD4" w:rsidRDefault="00D47BD4">
      <w:pPr>
        <w:pStyle w:val="Geenafstand"/>
        <w:ind w:left="705" w:hanging="705"/>
        <w:jc w:val="both"/>
      </w:pPr>
      <w:r>
        <w:t>7.6</w:t>
      </w:r>
      <w:r>
        <w:tab/>
        <w:t xml:space="preserve">If any provision of this Agreement is found to be invalid, the validity of the other provisions of this Agreement shall not be affected. We shall then enter into consultations with You to jointly draw up a new provision. This provision shall be in the spirit of the invalid provision where possible, but obviously drafted in such a manner that the provision is valid. </w:t>
      </w:r>
    </w:p>
    <w:p w14:paraId="37C18B41" w14:textId="77777777" w:rsidR="00D47BD4" w:rsidRPr="00D47BD4" w:rsidRDefault="00D47BD4">
      <w:pPr>
        <w:pStyle w:val="Geenafstand"/>
        <w:ind w:left="705" w:hanging="705"/>
      </w:pPr>
    </w:p>
    <w:p w14:paraId="17081987" w14:textId="77777777" w:rsidR="00D47BD4" w:rsidRPr="00D47BD4" w:rsidRDefault="00D47BD4">
      <w:pPr>
        <w:pStyle w:val="Geenafstand"/>
        <w:ind w:left="705" w:hanging="705"/>
        <w:jc w:val="both"/>
      </w:pPr>
      <w:r>
        <w:t>7.7</w:t>
      </w:r>
      <w:r>
        <w:tab/>
        <w:t>Communications under this Agreement (including communications within the context of Article 5 - Data Breaches) shall be made by You and Us to the Employees listed below:</w:t>
      </w:r>
    </w:p>
    <w:p w14:paraId="2CC80C83" w14:textId="77777777" w:rsidR="00D47BD4" w:rsidRPr="00D47BD4" w:rsidRDefault="00D47BD4">
      <w:pPr>
        <w:pStyle w:val="Geenafstand"/>
        <w:ind w:left="705" w:hanging="705"/>
        <w:jc w:val="both"/>
      </w:pPr>
    </w:p>
    <w:p w14:paraId="1194C779" w14:textId="77777777" w:rsidR="00D47BD4" w:rsidRPr="00D47BD4" w:rsidRDefault="00D47BD4">
      <w:pPr>
        <w:pStyle w:val="Geenafstand"/>
        <w:ind w:left="705" w:hanging="705"/>
        <w:jc w:val="both"/>
      </w:pPr>
      <w:r>
        <w:tab/>
        <w:t>[name]</w:t>
      </w:r>
    </w:p>
    <w:p w14:paraId="13B5242F" w14:textId="77777777" w:rsidR="00D47BD4" w:rsidRPr="00D47BD4" w:rsidRDefault="00D47BD4">
      <w:pPr>
        <w:pStyle w:val="Geenafstand"/>
        <w:ind w:left="705" w:hanging="705"/>
        <w:jc w:val="both"/>
      </w:pPr>
      <w:r>
        <w:tab/>
        <w:t>[employed at: ]</w:t>
      </w:r>
    </w:p>
    <w:p w14:paraId="2739CD88" w14:textId="77777777" w:rsidR="00D47BD4" w:rsidRPr="00D47BD4" w:rsidRDefault="00D47BD4">
      <w:pPr>
        <w:pStyle w:val="Geenafstand"/>
        <w:ind w:left="705" w:hanging="705"/>
        <w:jc w:val="both"/>
      </w:pPr>
      <w:r>
        <w:tab/>
        <w:t>[contact details]</w:t>
      </w:r>
    </w:p>
    <w:p w14:paraId="6F8EA58F" w14:textId="77777777" w:rsidR="00D47BD4" w:rsidRPr="00D47BD4" w:rsidRDefault="00D47BD4">
      <w:pPr>
        <w:pStyle w:val="Geenafstand"/>
        <w:ind w:left="705" w:hanging="705"/>
        <w:jc w:val="both"/>
      </w:pPr>
    </w:p>
    <w:p w14:paraId="4E723FE8" w14:textId="77777777" w:rsidR="00D47BD4" w:rsidRPr="00D47BD4" w:rsidRDefault="00D47BD4">
      <w:pPr>
        <w:pStyle w:val="Geenafstand"/>
        <w:ind w:left="705"/>
        <w:jc w:val="both"/>
      </w:pPr>
      <w:r>
        <w:t>[name]</w:t>
      </w:r>
    </w:p>
    <w:p w14:paraId="100A82EC" w14:textId="77777777" w:rsidR="00D47BD4" w:rsidRPr="00D47BD4" w:rsidRDefault="00D47BD4">
      <w:pPr>
        <w:pStyle w:val="Geenafstand"/>
        <w:ind w:left="705" w:hanging="705"/>
        <w:jc w:val="both"/>
      </w:pPr>
      <w:r>
        <w:tab/>
        <w:t>[employed at: ]</w:t>
      </w:r>
    </w:p>
    <w:p w14:paraId="7E4D50D4" w14:textId="77777777" w:rsidR="00D47BD4" w:rsidRPr="00D47BD4" w:rsidRDefault="00D47BD4">
      <w:pPr>
        <w:pStyle w:val="Geenafstand"/>
        <w:ind w:left="705" w:hanging="705"/>
        <w:jc w:val="both"/>
      </w:pPr>
      <w:r>
        <w:tab/>
        <w:t>[contact details]</w:t>
      </w:r>
    </w:p>
    <w:p w14:paraId="7722BE96" w14:textId="77777777" w:rsidR="00D47BD4" w:rsidRPr="00D47BD4" w:rsidRDefault="00D47BD4">
      <w:pPr>
        <w:pStyle w:val="Geenafstand"/>
        <w:ind w:left="705" w:hanging="705"/>
        <w:jc w:val="both"/>
      </w:pPr>
    </w:p>
    <w:p w14:paraId="0AF67E27" w14:textId="77777777" w:rsidR="00D47BD4" w:rsidRPr="00D47BD4" w:rsidRDefault="00D47BD4">
      <w:pPr>
        <w:ind w:left="705"/>
        <w:jc w:val="both"/>
      </w:pPr>
      <w:r>
        <w:t xml:space="preserve">If the details of the aforementioned Employees change, or if they are replaced by other Employees, We shall inform each other thereof. </w:t>
      </w:r>
    </w:p>
    <w:p w14:paraId="2D5242CF" w14:textId="77777777" w:rsidR="00D47BD4" w:rsidRPr="00D47BD4" w:rsidRDefault="00D47BD4">
      <w:pPr>
        <w:rPr>
          <w:b/>
        </w:rPr>
      </w:pPr>
    </w:p>
    <w:p w14:paraId="0A629214" w14:textId="77777777" w:rsidR="00D47BD4" w:rsidRPr="00D47BD4" w:rsidRDefault="00D47BD4">
      <w:pPr>
        <w:rPr>
          <w:b/>
        </w:rPr>
      </w:pPr>
      <w:r>
        <w:rPr>
          <w:b/>
        </w:rPr>
        <w:lastRenderedPageBreak/>
        <w:t>Signature</w:t>
      </w:r>
    </w:p>
    <w:p w14:paraId="028AB3AE" w14:textId="77777777" w:rsidR="00D47BD4" w:rsidRPr="00D47BD4" w:rsidRDefault="00D47BD4">
      <w:r>
        <w:t>Signed on [date]</w:t>
      </w:r>
    </w:p>
    <w:p w14:paraId="1E1BC659" w14:textId="77777777" w:rsidR="00D47BD4" w:rsidRPr="00D47BD4" w:rsidRDefault="00D47BD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D47BD4" w:rsidRPr="00D47BD4" w14:paraId="203D1970" w14:textId="77777777" w:rsidTr="00D01250">
        <w:tc>
          <w:tcPr>
            <w:tcW w:w="4606" w:type="dxa"/>
          </w:tcPr>
          <w:p w14:paraId="2A94F74A" w14:textId="77777777" w:rsidR="00D47BD4" w:rsidRPr="00D47BD4" w:rsidRDefault="00D47BD4"/>
          <w:p w14:paraId="2FDF89C8" w14:textId="77777777" w:rsidR="00D47BD4" w:rsidRPr="00D47BD4" w:rsidRDefault="00D47BD4"/>
          <w:p w14:paraId="2DB58477" w14:textId="77777777" w:rsidR="00D47BD4" w:rsidRPr="00D47BD4" w:rsidRDefault="00D47BD4"/>
          <w:p w14:paraId="27A795A9" w14:textId="77777777" w:rsidR="00D47BD4" w:rsidRPr="00D47BD4" w:rsidRDefault="00D47BD4"/>
          <w:p w14:paraId="6325325C" w14:textId="77777777" w:rsidR="00D47BD4" w:rsidRPr="00D47BD4" w:rsidRDefault="00D47BD4"/>
          <w:p w14:paraId="2509D594" w14:textId="77777777" w:rsidR="00D47BD4" w:rsidRPr="00D47BD4" w:rsidRDefault="00D47BD4"/>
          <w:p w14:paraId="055366A9" w14:textId="77777777" w:rsidR="00D47BD4" w:rsidRPr="00D47BD4" w:rsidRDefault="00D47BD4">
            <w:r>
              <w:t>_______________________________</w:t>
            </w:r>
          </w:p>
        </w:tc>
        <w:tc>
          <w:tcPr>
            <w:tcW w:w="4606" w:type="dxa"/>
          </w:tcPr>
          <w:p w14:paraId="6B961757" w14:textId="77777777" w:rsidR="00D47BD4" w:rsidRPr="00D47BD4" w:rsidRDefault="00D47BD4"/>
          <w:p w14:paraId="780A5C6A" w14:textId="77777777" w:rsidR="00D47BD4" w:rsidRPr="00D47BD4" w:rsidRDefault="00D47BD4"/>
          <w:p w14:paraId="4088396E" w14:textId="77777777" w:rsidR="00D47BD4" w:rsidRPr="00D47BD4" w:rsidRDefault="00D47BD4"/>
          <w:p w14:paraId="45101298" w14:textId="77777777" w:rsidR="00D47BD4" w:rsidRPr="00D47BD4" w:rsidRDefault="00D47BD4"/>
          <w:p w14:paraId="14A61EB3" w14:textId="77777777" w:rsidR="00D47BD4" w:rsidRPr="00D47BD4" w:rsidRDefault="00D47BD4"/>
          <w:p w14:paraId="43F46576" w14:textId="77777777" w:rsidR="00D47BD4" w:rsidRPr="00D47BD4" w:rsidRDefault="00D47BD4"/>
          <w:p w14:paraId="11E52EB2" w14:textId="77777777" w:rsidR="00D47BD4" w:rsidRPr="00D47BD4" w:rsidRDefault="00D47BD4">
            <w:r>
              <w:t>_________________________________</w:t>
            </w:r>
          </w:p>
        </w:tc>
      </w:tr>
      <w:tr w:rsidR="00D47BD4" w:rsidRPr="00D47BD4" w14:paraId="3174933A" w14:textId="77777777" w:rsidTr="00D01250">
        <w:tc>
          <w:tcPr>
            <w:tcW w:w="4606" w:type="dxa"/>
          </w:tcPr>
          <w:p w14:paraId="6305AF0F" w14:textId="77777777" w:rsidR="00D47BD4" w:rsidRPr="00D47BD4" w:rsidRDefault="00D47BD4">
            <w:r>
              <w:t>[name customer + name signatory]</w:t>
            </w:r>
          </w:p>
        </w:tc>
        <w:tc>
          <w:tcPr>
            <w:tcW w:w="4606" w:type="dxa"/>
          </w:tcPr>
          <w:p w14:paraId="6C19B654" w14:textId="77777777" w:rsidR="00D47BD4" w:rsidRPr="00D47BD4" w:rsidRDefault="00D47BD4">
            <w:r>
              <w:t>[name accountancy practice + name signatory]</w:t>
            </w:r>
          </w:p>
        </w:tc>
      </w:tr>
    </w:tbl>
    <w:p w14:paraId="6040E253" w14:textId="77777777" w:rsidR="00D47BD4" w:rsidRPr="00D47BD4" w:rsidRDefault="00D47BD4">
      <w:r>
        <w:br w:type="page"/>
      </w:r>
    </w:p>
    <w:p w14:paraId="34376438" w14:textId="77777777" w:rsidR="00D47BD4" w:rsidRPr="00D47BD4" w:rsidRDefault="00D47BD4">
      <w:pPr>
        <w:pStyle w:val="Geenafstand"/>
        <w:ind w:left="705" w:hanging="705"/>
        <w:rPr>
          <w:b/>
          <w:u w:val="single"/>
        </w:rPr>
      </w:pPr>
      <w:r>
        <w:rPr>
          <w:b/>
          <w:u w:val="single"/>
        </w:rPr>
        <w:lastRenderedPageBreak/>
        <w:t xml:space="preserve">Annex: </w:t>
      </w:r>
    </w:p>
    <w:p w14:paraId="4C0C788F" w14:textId="77777777" w:rsidR="00D47BD4" w:rsidRPr="00D47BD4" w:rsidRDefault="00D47BD4">
      <w:pPr>
        <w:pStyle w:val="Geenafstand"/>
        <w:ind w:left="705" w:hanging="705"/>
      </w:pPr>
    </w:p>
    <w:p w14:paraId="1579D2FA" w14:textId="77777777" w:rsidR="00D47BD4" w:rsidRPr="00D47BD4" w:rsidRDefault="00D47BD4">
      <w:pPr>
        <w:jc w:val="both"/>
        <w:rPr>
          <w:b/>
        </w:rPr>
      </w:pPr>
      <w:r>
        <w:rPr>
          <w:b/>
        </w:rPr>
        <w:t>Personal Data</w:t>
      </w:r>
    </w:p>
    <w:p w14:paraId="7D9F902A" w14:textId="26A8D6F6" w:rsidR="00D47BD4" w:rsidRPr="00D47BD4" w:rsidRDefault="00D47BD4">
      <w:pPr>
        <w:jc w:val="both"/>
      </w:pPr>
      <w:r>
        <w:t>[</w:t>
      </w:r>
      <w:r w:rsidRPr="00A9629B">
        <w:rPr>
          <w:i/>
        </w:rPr>
        <w:t>Describe the subject matter, duration, nature</w:t>
      </w:r>
      <w:r w:rsidR="00C27B15">
        <w:rPr>
          <w:i/>
        </w:rPr>
        <w:t>,</w:t>
      </w:r>
      <w:r w:rsidRPr="00A9629B">
        <w:rPr>
          <w:i/>
        </w:rPr>
        <w:t xml:space="preserve"> and purpose of the processing, to be completed by the customer on the basis of the Underlying Assignment</w:t>
      </w:r>
      <w:r>
        <w:t>]</w:t>
      </w:r>
    </w:p>
    <w:p w14:paraId="6D6AA92B" w14:textId="77777777" w:rsidR="00D47BD4" w:rsidRPr="00D47BD4" w:rsidRDefault="00D47BD4">
      <w:pPr>
        <w:jc w:val="both"/>
      </w:pPr>
      <w:r>
        <w:t>The following Personal Data will be processed in the co</w:t>
      </w:r>
      <w:bookmarkStart w:id="0" w:name="_GoBack"/>
      <w:bookmarkEnd w:id="0"/>
      <w:r>
        <w:t>ntext of the Underlying Assignment:</w:t>
      </w:r>
    </w:p>
    <w:p w14:paraId="2FE8D806" w14:textId="77777777" w:rsidR="00D47BD4" w:rsidRPr="00D47BD4" w:rsidRDefault="00D47BD4">
      <w:pPr>
        <w:jc w:val="both"/>
      </w:pPr>
      <w:r>
        <w:t>[</w:t>
      </w:r>
      <w:r w:rsidRPr="00A9629B">
        <w:rPr>
          <w:i/>
        </w:rPr>
        <w:t>List of types of Personal Data and categories of Data Subjects, to be completed by the customer</w:t>
      </w:r>
      <w:r>
        <w:t>]</w:t>
      </w:r>
    </w:p>
    <w:p w14:paraId="12B42C55" w14:textId="364B6480" w:rsidR="00D47BD4" w:rsidRPr="00D47BD4" w:rsidRDefault="00D47BD4">
      <w:pPr>
        <w:jc w:val="both"/>
        <w:rPr>
          <w:b/>
        </w:rPr>
      </w:pPr>
      <w:r>
        <w:rPr>
          <w:b/>
        </w:rPr>
        <w:t>Processing Operation</w:t>
      </w:r>
      <w:r w:rsidR="00C27B15">
        <w:rPr>
          <w:b/>
        </w:rPr>
        <w:t>s</w:t>
      </w:r>
    </w:p>
    <w:p w14:paraId="25157DAA" w14:textId="77777777" w:rsidR="00D47BD4" w:rsidRPr="00D47BD4" w:rsidRDefault="00D47BD4">
      <w:pPr>
        <w:jc w:val="both"/>
      </w:pPr>
      <w:r>
        <w:t>We Process Personal Data for You in the following ways:</w:t>
      </w:r>
    </w:p>
    <w:p w14:paraId="4482B2DB" w14:textId="055B40C5" w:rsidR="00D47BD4" w:rsidRPr="00D47BD4" w:rsidRDefault="00D47BD4">
      <w:pPr>
        <w:jc w:val="both"/>
      </w:pPr>
      <w:r>
        <w:t>[</w:t>
      </w:r>
      <w:r w:rsidRPr="00A9629B">
        <w:rPr>
          <w:i/>
        </w:rPr>
        <w:t>Description of the service(s) provided by the accountant and the personal data processed by the accountant.</w:t>
      </w:r>
      <w:r w:rsidR="00C27B15" w:rsidRPr="00E16228">
        <w:t>]</w:t>
      </w:r>
    </w:p>
    <w:p w14:paraId="65145C10" w14:textId="77777777" w:rsidR="00D47BD4" w:rsidRPr="00D47BD4" w:rsidRDefault="00D47BD4">
      <w:pPr>
        <w:jc w:val="both"/>
        <w:rPr>
          <w:b/>
        </w:rPr>
      </w:pPr>
      <w:r>
        <w:rPr>
          <w:b/>
        </w:rPr>
        <w:t>Technical and organisational measures</w:t>
      </w:r>
    </w:p>
    <w:p w14:paraId="591CD037" w14:textId="77777777" w:rsidR="00D47BD4" w:rsidRPr="00D47BD4" w:rsidRDefault="00D47BD4">
      <w:pPr>
        <w:jc w:val="both"/>
      </w:pPr>
      <w:r>
        <w:t>We shall implement the following technical and organisational measures to protect the Personal Data against loss or unlawful Processing during the transfer between the Parties:</w:t>
      </w:r>
    </w:p>
    <w:p w14:paraId="416CB83B" w14:textId="77777777" w:rsidR="00D47BD4" w:rsidRPr="00D47BD4" w:rsidRDefault="00D47BD4">
      <w:pPr>
        <w:jc w:val="both"/>
      </w:pPr>
      <w:r>
        <w:t>[</w:t>
      </w:r>
      <w:r w:rsidRPr="00A9629B">
        <w:rPr>
          <w:i/>
        </w:rPr>
        <w:t>list of measures to be implemented to ensure an adequate level of security of the transfer of personal data, to be completed by the accountant.</w:t>
      </w:r>
      <w:r>
        <w:t>]</w:t>
      </w:r>
    </w:p>
    <w:p w14:paraId="02E478A5" w14:textId="77777777" w:rsidR="00D47BD4" w:rsidRPr="00D47BD4" w:rsidRDefault="00D47BD4"/>
    <w:p w14:paraId="25FF948A" w14:textId="77777777" w:rsidR="00821548" w:rsidRPr="00D47BD4" w:rsidRDefault="00821548"/>
    <w:sectPr w:rsidR="00821548" w:rsidRPr="00D47BD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0EE4" w14:textId="77777777" w:rsidR="00B5273B" w:rsidRDefault="00B5273B" w:rsidP="00F34444">
      <w:pPr>
        <w:spacing w:after="0" w:line="240" w:lineRule="auto"/>
      </w:pPr>
      <w:r>
        <w:separator/>
      </w:r>
    </w:p>
  </w:endnote>
  <w:endnote w:type="continuationSeparator" w:id="0">
    <w:p w14:paraId="0C85A35E" w14:textId="77777777" w:rsidR="00B5273B" w:rsidRDefault="00B5273B" w:rsidP="00F3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CA346" w14:textId="77777777" w:rsidR="00D47BD4" w:rsidRDefault="00D47B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49DD6" w14:textId="77777777" w:rsidR="00D47BD4" w:rsidRDefault="00D47B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7B8F" w14:textId="77777777" w:rsidR="00D47BD4" w:rsidRDefault="00D47B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7B387" w14:textId="77777777" w:rsidR="00B5273B" w:rsidRDefault="00B5273B" w:rsidP="00F34444">
      <w:pPr>
        <w:spacing w:after="0" w:line="240" w:lineRule="auto"/>
      </w:pPr>
      <w:r>
        <w:separator/>
      </w:r>
    </w:p>
  </w:footnote>
  <w:footnote w:type="continuationSeparator" w:id="0">
    <w:p w14:paraId="55F76E2A" w14:textId="77777777" w:rsidR="00B5273B" w:rsidRDefault="00B5273B" w:rsidP="00F34444">
      <w:pPr>
        <w:spacing w:after="0" w:line="240" w:lineRule="auto"/>
      </w:pPr>
      <w:r>
        <w:continuationSeparator/>
      </w:r>
    </w:p>
  </w:footnote>
  <w:footnote w:id="1">
    <w:p w14:paraId="11F4F0D1" w14:textId="77777777" w:rsidR="00D47BD4" w:rsidRPr="00D47BD4" w:rsidRDefault="00D47BD4" w:rsidP="00D47BD4">
      <w:pPr>
        <w:pStyle w:val="Voetnoottekst"/>
      </w:pPr>
      <w:r w:rsidRPr="00A9629B">
        <w:footnoteRef/>
      </w:r>
      <w:r>
        <w:t xml:space="preserve"> This does not relate to the joint processing responsibility within the meaning of Article 26 of the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0283E" w14:textId="77777777" w:rsidR="00D47BD4" w:rsidRDefault="00D47B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6381D" w14:textId="77777777" w:rsidR="00D47BD4" w:rsidRDefault="00D47B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354B9" w14:textId="77777777" w:rsidR="00D47BD4" w:rsidRDefault="00D47BD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552"/>
    <w:rsid w:val="0000369D"/>
    <w:rsid w:val="00003833"/>
    <w:rsid w:val="00005A9B"/>
    <w:rsid w:val="00007003"/>
    <w:rsid w:val="0001313C"/>
    <w:rsid w:val="00017FA7"/>
    <w:rsid w:val="00020B2E"/>
    <w:rsid w:val="00022E2D"/>
    <w:rsid w:val="00023301"/>
    <w:rsid w:val="000235A4"/>
    <w:rsid w:val="0002604F"/>
    <w:rsid w:val="0003217C"/>
    <w:rsid w:val="000400CC"/>
    <w:rsid w:val="00045B01"/>
    <w:rsid w:val="00051675"/>
    <w:rsid w:val="00052219"/>
    <w:rsid w:val="00060496"/>
    <w:rsid w:val="000634A4"/>
    <w:rsid w:val="00074D5E"/>
    <w:rsid w:val="0007703D"/>
    <w:rsid w:val="00084011"/>
    <w:rsid w:val="00084F14"/>
    <w:rsid w:val="00091790"/>
    <w:rsid w:val="000938E0"/>
    <w:rsid w:val="00093F97"/>
    <w:rsid w:val="000948B0"/>
    <w:rsid w:val="00095638"/>
    <w:rsid w:val="00096AC9"/>
    <w:rsid w:val="000A092E"/>
    <w:rsid w:val="000A1EC4"/>
    <w:rsid w:val="000A2136"/>
    <w:rsid w:val="000A2CA0"/>
    <w:rsid w:val="000B32B6"/>
    <w:rsid w:val="000B3861"/>
    <w:rsid w:val="000B47E7"/>
    <w:rsid w:val="000B7E7A"/>
    <w:rsid w:val="000C0B9D"/>
    <w:rsid w:val="000C0FA6"/>
    <w:rsid w:val="000C12A0"/>
    <w:rsid w:val="000D1C16"/>
    <w:rsid w:val="000D6DEB"/>
    <w:rsid w:val="000D7C0D"/>
    <w:rsid w:val="000D7F4C"/>
    <w:rsid w:val="000E4E8C"/>
    <w:rsid w:val="000E5FD2"/>
    <w:rsid w:val="000E7439"/>
    <w:rsid w:val="000F2F7C"/>
    <w:rsid w:val="000F3D8E"/>
    <w:rsid w:val="000F7281"/>
    <w:rsid w:val="00101B74"/>
    <w:rsid w:val="00101BE0"/>
    <w:rsid w:val="00103612"/>
    <w:rsid w:val="00104E5D"/>
    <w:rsid w:val="0011088E"/>
    <w:rsid w:val="00111767"/>
    <w:rsid w:val="00112AC7"/>
    <w:rsid w:val="00114759"/>
    <w:rsid w:val="001158D0"/>
    <w:rsid w:val="001265A4"/>
    <w:rsid w:val="00130857"/>
    <w:rsid w:val="00141103"/>
    <w:rsid w:val="001416EB"/>
    <w:rsid w:val="00142AB9"/>
    <w:rsid w:val="00144A78"/>
    <w:rsid w:val="00147A17"/>
    <w:rsid w:val="00151A89"/>
    <w:rsid w:val="001538CA"/>
    <w:rsid w:val="00155628"/>
    <w:rsid w:val="00160039"/>
    <w:rsid w:val="00161C89"/>
    <w:rsid w:val="00166DF9"/>
    <w:rsid w:val="00170064"/>
    <w:rsid w:val="00170552"/>
    <w:rsid w:val="00172D37"/>
    <w:rsid w:val="001778AE"/>
    <w:rsid w:val="00177977"/>
    <w:rsid w:val="00183F41"/>
    <w:rsid w:val="0018423F"/>
    <w:rsid w:val="00184C0B"/>
    <w:rsid w:val="00190A04"/>
    <w:rsid w:val="001922F8"/>
    <w:rsid w:val="00192460"/>
    <w:rsid w:val="00194E0F"/>
    <w:rsid w:val="00195CB4"/>
    <w:rsid w:val="001A0825"/>
    <w:rsid w:val="001A52CB"/>
    <w:rsid w:val="001A7E7B"/>
    <w:rsid w:val="001B4E98"/>
    <w:rsid w:val="001B66A4"/>
    <w:rsid w:val="001C1820"/>
    <w:rsid w:val="001C5BB0"/>
    <w:rsid w:val="001C7409"/>
    <w:rsid w:val="001D34E0"/>
    <w:rsid w:val="001E14FA"/>
    <w:rsid w:val="001E1D47"/>
    <w:rsid w:val="001E22E4"/>
    <w:rsid w:val="001E5556"/>
    <w:rsid w:val="001E64F8"/>
    <w:rsid w:val="001E7996"/>
    <w:rsid w:val="001F3A5F"/>
    <w:rsid w:val="001F5A00"/>
    <w:rsid w:val="001F6967"/>
    <w:rsid w:val="00201284"/>
    <w:rsid w:val="00203D38"/>
    <w:rsid w:val="00204EA8"/>
    <w:rsid w:val="0020635C"/>
    <w:rsid w:val="00206770"/>
    <w:rsid w:val="002115DD"/>
    <w:rsid w:val="002131BA"/>
    <w:rsid w:val="00220C9B"/>
    <w:rsid w:val="002247C8"/>
    <w:rsid w:val="00224B40"/>
    <w:rsid w:val="00225290"/>
    <w:rsid w:val="00227DFE"/>
    <w:rsid w:val="00236C08"/>
    <w:rsid w:val="00243FC1"/>
    <w:rsid w:val="002442DC"/>
    <w:rsid w:val="00244628"/>
    <w:rsid w:val="00251031"/>
    <w:rsid w:val="00252641"/>
    <w:rsid w:val="00252E0D"/>
    <w:rsid w:val="00253BBC"/>
    <w:rsid w:val="0026074A"/>
    <w:rsid w:val="00272BCE"/>
    <w:rsid w:val="00274B24"/>
    <w:rsid w:val="00276A17"/>
    <w:rsid w:val="002838C7"/>
    <w:rsid w:val="0028788D"/>
    <w:rsid w:val="00295879"/>
    <w:rsid w:val="00296048"/>
    <w:rsid w:val="002A47A4"/>
    <w:rsid w:val="002A47A6"/>
    <w:rsid w:val="002A4B30"/>
    <w:rsid w:val="002A660D"/>
    <w:rsid w:val="002B15D7"/>
    <w:rsid w:val="002B1CE8"/>
    <w:rsid w:val="002B2DF9"/>
    <w:rsid w:val="002B48E1"/>
    <w:rsid w:val="002B54AC"/>
    <w:rsid w:val="002B5BBA"/>
    <w:rsid w:val="002C7139"/>
    <w:rsid w:val="002D650E"/>
    <w:rsid w:val="002D79C5"/>
    <w:rsid w:val="002E18F9"/>
    <w:rsid w:val="002E2A7B"/>
    <w:rsid w:val="002F386E"/>
    <w:rsid w:val="002F5BBF"/>
    <w:rsid w:val="00300DA0"/>
    <w:rsid w:val="00302465"/>
    <w:rsid w:val="00302A08"/>
    <w:rsid w:val="003108A6"/>
    <w:rsid w:val="00310A2D"/>
    <w:rsid w:val="003110A4"/>
    <w:rsid w:val="003129AE"/>
    <w:rsid w:val="00315FCF"/>
    <w:rsid w:val="00321073"/>
    <w:rsid w:val="00323A20"/>
    <w:rsid w:val="00325731"/>
    <w:rsid w:val="00325E7C"/>
    <w:rsid w:val="003309BE"/>
    <w:rsid w:val="0033172C"/>
    <w:rsid w:val="00333F37"/>
    <w:rsid w:val="00335D6F"/>
    <w:rsid w:val="00352197"/>
    <w:rsid w:val="00352DAC"/>
    <w:rsid w:val="00355C43"/>
    <w:rsid w:val="00356D08"/>
    <w:rsid w:val="00366B0B"/>
    <w:rsid w:val="00366D90"/>
    <w:rsid w:val="00370289"/>
    <w:rsid w:val="00371D66"/>
    <w:rsid w:val="003727E0"/>
    <w:rsid w:val="0037742D"/>
    <w:rsid w:val="0038446B"/>
    <w:rsid w:val="00385DF9"/>
    <w:rsid w:val="003912C1"/>
    <w:rsid w:val="00393346"/>
    <w:rsid w:val="0039481B"/>
    <w:rsid w:val="00394D46"/>
    <w:rsid w:val="00395542"/>
    <w:rsid w:val="003A708A"/>
    <w:rsid w:val="003B0D21"/>
    <w:rsid w:val="003B7375"/>
    <w:rsid w:val="003B7380"/>
    <w:rsid w:val="003C045F"/>
    <w:rsid w:val="003C076E"/>
    <w:rsid w:val="003C0C20"/>
    <w:rsid w:val="003C2A3E"/>
    <w:rsid w:val="003C35AD"/>
    <w:rsid w:val="003C4BEB"/>
    <w:rsid w:val="003C5761"/>
    <w:rsid w:val="003C5AF6"/>
    <w:rsid w:val="003D0775"/>
    <w:rsid w:val="003D0BA3"/>
    <w:rsid w:val="003D1B94"/>
    <w:rsid w:val="003E26BF"/>
    <w:rsid w:val="003F226F"/>
    <w:rsid w:val="003F3156"/>
    <w:rsid w:val="003F4588"/>
    <w:rsid w:val="003F5AAC"/>
    <w:rsid w:val="003F66AC"/>
    <w:rsid w:val="003F7142"/>
    <w:rsid w:val="00402222"/>
    <w:rsid w:val="004047AC"/>
    <w:rsid w:val="00406BB7"/>
    <w:rsid w:val="0041573D"/>
    <w:rsid w:val="00416534"/>
    <w:rsid w:val="00417BFD"/>
    <w:rsid w:val="004219D7"/>
    <w:rsid w:val="00424E83"/>
    <w:rsid w:val="00425217"/>
    <w:rsid w:val="004262DF"/>
    <w:rsid w:val="0043433E"/>
    <w:rsid w:val="00437149"/>
    <w:rsid w:val="004415F4"/>
    <w:rsid w:val="0045158C"/>
    <w:rsid w:val="0045264C"/>
    <w:rsid w:val="00454B4B"/>
    <w:rsid w:val="00457131"/>
    <w:rsid w:val="00457CDF"/>
    <w:rsid w:val="0046279C"/>
    <w:rsid w:val="00464812"/>
    <w:rsid w:val="004722AB"/>
    <w:rsid w:val="004745EA"/>
    <w:rsid w:val="00482316"/>
    <w:rsid w:val="004854D7"/>
    <w:rsid w:val="004856E8"/>
    <w:rsid w:val="004901CE"/>
    <w:rsid w:val="00490801"/>
    <w:rsid w:val="0049439E"/>
    <w:rsid w:val="00496181"/>
    <w:rsid w:val="00496357"/>
    <w:rsid w:val="004967CD"/>
    <w:rsid w:val="004A172F"/>
    <w:rsid w:val="004A2004"/>
    <w:rsid w:val="004B227F"/>
    <w:rsid w:val="004B2A6C"/>
    <w:rsid w:val="004B5CE3"/>
    <w:rsid w:val="004B6396"/>
    <w:rsid w:val="004B6A4F"/>
    <w:rsid w:val="004C6385"/>
    <w:rsid w:val="004D2A99"/>
    <w:rsid w:val="004D3996"/>
    <w:rsid w:val="004D6C6A"/>
    <w:rsid w:val="004D6CAE"/>
    <w:rsid w:val="004E17DE"/>
    <w:rsid w:val="004E6511"/>
    <w:rsid w:val="004F06B5"/>
    <w:rsid w:val="004F0726"/>
    <w:rsid w:val="004F32CD"/>
    <w:rsid w:val="004F695E"/>
    <w:rsid w:val="00501291"/>
    <w:rsid w:val="005070A3"/>
    <w:rsid w:val="00507AC9"/>
    <w:rsid w:val="00511730"/>
    <w:rsid w:val="00512D9A"/>
    <w:rsid w:val="00515FC1"/>
    <w:rsid w:val="00517908"/>
    <w:rsid w:val="005258AE"/>
    <w:rsid w:val="00525D0C"/>
    <w:rsid w:val="00526180"/>
    <w:rsid w:val="00532686"/>
    <w:rsid w:val="005364E3"/>
    <w:rsid w:val="00541C44"/>
    <w:rsid w:val="00542B19"/>
    <w:rsid w:val="00547BA6"/>
    <w:rsid w:val="005517A1"/>
    <w:rsid w:val="00553C42"/>
    <w:rsid w:val="00560F17"/>
    <w:rsid w:val="005626BE"/>
    <w:rsid w:val="005667B4"/>
    <w:rsid w:val="00566ADD"/>
    <w:rsid w:val="0057174A"/>
    <w:rsid w:val="005717BF"/>
    <w:rsid w:val="00577318"/>
    <w:rsid w:val="005818AE"/>
    <w:rsid w:val="00583D4D"/>
    <w:rsid w:val="0058646B"/>
    <w:rsid w:val="00591A76"/>
    <w:rsid w:val="00596476"/>
    <w:rsid w:val="00596EF3"/>
    <w:rsid w:val="005A054C"/>
    <w:rsid w:val="005A1BA0"/>
    <w:rsid w:val="005A643C"/>
    <w:rsid w:val="005B21BC"/>
    <w:rsid w:val="005B4235"/>
    <w:rsid w:val="005C2988"/>
    <w:rsid w:val="005C5339"/>
    <w:rsid w:val="005C6402"/>
    <w:rsid w:val="005C70CA"/>
    <w:rsid w:val="005D4A27"/>
    <w:rsid w:val="005D4E31"/>
    <w:rsid w:val="005D52DB"/>
    <w:rsid w:val="005D746E"/>
    <w:rsid w:val="005E460B"/>
    <w:rsid w:val="005E6F6D"/>
    <w:rsid w:val="005E7398"/>
    <w:rsid w:val="005F1180"/>
    <w:rsid w:val="005F16C0"/>
    <w:rsid w:val="005F61C1"/>
    <w:rsid w:val="005F7791"/>
    <w:rsid w:val="006002D3"/>
    <w:rsid w:val="0060390F"/>
    <w:rsid w:val="00612FCE"/>
    <w:rsid w:val="00616108"/>
    <w:rsid w:val="00617BA1"/>
    <w:rsid w:val="006219F1"/>
    <w:rsid w:val="006239DF"/>
    <w:rsid w:val="0062700D"/>
    <w:rsid w:val="0062795D"/>
    <w:rsid w:val="0063409C"/>
    <w:rsid w:val="00635D97"/>
    <w:rsid w:val="00641C7F"/>
    <w:rsid w:val="00643431"/>
    <w:rsid w:val="006473F3"/>
    <w:rsid w:val="00647C23"/>
    <w:rsid w:val="00652D4F"/>
    <w:rsid w:val="00657770"/>
    <w:rsid w:val="00663758"/>
    <w:rsid w:val="00666085"/>
    <w:rsid w:val="00671301"/>
    <w:rsid w:val="00672BC3"/>
    <w:rsid w:val="00673D87"/>
    <w:rsid w:val="00681F6E"/>
    <w:rsid w:val="006823E8"/>
    <w:rsid w:val="0068258A"/>
    <w:rsid w:val="006856CD"/>
    <w:rsid w:val="00686AC0"/>
    <w:rsid w:val="0069083C"/>
    <w:rsid w:val="00695B74"/>
    <w:rsid w:val="006A0B17"/>
    <w:rsid w:val="006A1B89"/>
    <w:rsid w:val="006A5E1D"/>
    <w:rsid w:val="006A5F33"/>
    <w:rsid w:val="006A7700"/>
    <w:rsid w:val="006B1CB9"/>
    <w:rsid w:val="006B2FFB"/>
    <w:rsid w:val="006B63ED"/>
    <w:rsid w:val="006B6BB9"/>
    <w:rsid w:val="006B6F5E"/>
    <w:rsid w:val="006C1C4E"/>
    <w:rsid w:val="006C4B99"/>
    <w:rsid w:val="006D28A0"/>
    <w:rsid w:val="006D42C6"/>
    <w:rsid w:val="006E0680"/>
    <w:rsid w:val="006F2229"/>
    <w:rsid w:val="006F4344"/>
    <w:rsid w:val="006F43AF"/>
    <w:rsid w:val="006F5AA4"/>
    <w:rsid w:val="006F69BA"/>
    <w:rsid w:val="006F77D9"/>
    <w:rsid w:val="007035AC"/>
    <w:rsid w:val="00704DE3"/>
    <w:rsid w:val="00707C23"/>
    <w:rsid w:val="007150E8"/>
    <w:rsid w:val="007166F8"/>
    <w:rsid w:val="00716826"/>
    <w:rsid w:val="007238DE"/>
    <w:rsid w:val="0072498A"/>
    <w:rsid w:val="007252E1"/>
    <w:rsid w:val="00736590"/>
    <w:rsid w:val="00736E9C"/>
    <w:rsid w:val="0073771D"/>
    <w:rsid w:val="007413D0"/>
    <w:rsid w:val="00750BEA"/>
    <w:rsid w:val="00752C68"/>
    <w:rsid w:val="00752D6A"/>
    <w:rsid w:val="00753AFE"/>
    <w:rsid w:val="007554F9"/>
    <w:rsid w:val="0076484F"/>
    <w:rsid w:val="0076680C"/>
    <w:rsid w:val="00773662"/>
    <w:rsid w:val="0077466A"/>
    <w:rsid w:val="00775418"/>
    <w:rsid w:val="00776DDD"/>
    <w:rsid w:val="007776CC"/>
    <w:rsid w:val="00780ADB"/>
    <w:rsid w:val="00782BB6"/>
    <w:rsid w:val="007964BA"/>
    <w:rsid w:val="007A5CBE"/>
    <w:rsid w:val="007B0D8B"/>
    <w:rsid w:val="007B0F48"/>
    <w:rsid w:val="007B450C"/>
    <w:rsid w:val="007B4ADB"/>
    <w:rsid w:val="007B4DB3"/>
    <w:rsid w:val="007B54BD"/>
    <w:rsid w:val="007C1FD3"/>
    <w:rsid w:val="007C5F24"/>
    <w:rsid w:val="007E00CE"/>
    <w:rsid w:val="007E0268"/>
    <w:rsid w:val="007E3036"/>
    <w:rsid w:val="007E34D6"/>
    <w:rsid w:val="007E414F"/>
    <w:rsid w:val="007E4341"/>
    <w:rsid w:val="007E4AFC"/>
    <w:rsid w:val="007E7291"/>
    <w:rsid w:val="007F0AA9"/>
    <w:rsid w:val="007F75AD"/>
    <w:rsid w:val="007F7CD3"/>
    <w:rsid w:val="008002BF"/>
    <w:rsid w:val="00802D6A"/>
    <w:rsid w:val="008063A8"/>
    <w:rsid w:val="008077FB"/>
    <w:rsid w:val="00811679"/>
    <w:rsid w:val="0081224F"/>
    <w:rsid w:val="00814BDD"/>
    <w:rsid w:val="00815938"/>
    <w:rsid w:val="0081757D"/>
    <w:rsid w:val="0082059A"/>
    <w:rsid w:val="00821548"/>
    <w:rsid w:val="00836496"/>
    <w:rsid w:val="00837BFA"/>
    <w:rsid w:val="00841CF4"/>
    <w:rsid w:val="00842A95"/>
    <w:rsid w:val="00842F3D"/>
    <w:rsid w:val="00847101"/>
    <w:rsid w:val="0085589E"/>
    <w:rsid w:val="00857167"/>
    <w:rsid w:val="0086026D"/>
    <w:rsid w:val="00861D75"/>
    <w:rsid w:val="00863B70"/>
    <w:rsid w:val="00863CA3"/>
    <w:rsid w:val="008663B5"/>
    <w:rsid w:val="00875006"/>
    <w:rsid w:val="00875E5D"/>
    <w:rsid w:val="008820D2"/>
    <w:rsid w:val="0088641C"/>
    <w:rsid w:val="008875E3"/>
    <w:rsid w:val="00887764"/>
    <w:rsid w:val="00890F69"/>
    <w:rsid w:val="00892347"/>
    <w:rsid w:val="0089405D"/>
    <w:rsid w:val="00894139"/>
    <w:rsid w:val="008B05D8"/>
    <w:rsid w:val="008B0E01"/>
    <w:rsid w:val="008B4F2F"/>
    <w:rsid w:val="008B6FCD"/>
    <w:rsid w:val="008C13C5"/>
    <w:rsid w:val="008C2FC3"/>
    <w:rsid w:val="008C6351"/>
    <w:rsid w:val="008D1EAA"/>
    <w:rsid w:val="008D35EB"/>
    <w:rsid w:val="008D430E"/>
    <w:rsid w:val="008D6258"/>
    <w:rsid w:val="008E3712"/>
    <w:rsid w:val="008E72C2"/>
    <w:rsid w:val="008E7E3E"/>
    <w:rsid w:val="008F1042"/>
    <w:rsid w:val="008F1A32"/>
    <w:rsid w:val="008F3276"/>
    <w:rsid w:val="008F4C96"/>
    <w:rsid w:val="008F5286"/>
    <w:rsid w:val="0090085E"/>
    <w:rsid w:val="0090472E"/>
    <w:rsid w:val="00907F5B"/>
    <w:rsid w:val="00911690"/>
    <w:rsid w:val="00914B0A"/>
    <w:rsid w:val="00914B69"/>
    <w:rsid w:val="009169FA"/>
    <w:rsid w:val="0092003B"/>
    <w:rsid w:val="009244B3"/>
    <w:rsid w:val="00926A11"/>
    <w:rsid w:val="00927C0C"/>
    <w:rsid w:val="0093004C"/>
    <w:rsid w:val="00931DCF"/>
    <w:rsid w:val="00933173"/>
    <w:rsid w:val="00940BCF"/>
    <w:rsid w:val="0094158A"/>
    <w:rsid w:val="00941990"/>
    <w:rsid w:val="00943999"/>
    <w:rsid w:val="00944FA1"/>
    <w:rsid w:val="00945681"/>
    <w:rsid w:val="009458BD"/>
    <w:rsid w:val="0094592E"/>
    <w:rsid w:val="00950A53"/>
    <w:rsid w:val="00951D82"/>
    <w:rsid w:val="00952DEE"/>
    <w:rsid w:val="00953E8B"/>
    <w:rsid w:val="00955EBB"/>
    <w:rsid w:val="00957A58"/>
    <w:rsid w:val="00961378"/>
    <w:rsid w:val="00962FC4"/>
    <w:rsid w:val="009673C2"/>
    <w:rsid w:val="009674E7"/>
    <w:rsid w:val="00974435"/>
    <w:rsid w:val="00976B25"/>
    <w:rsid w:val="0098433C"/>
    <w:rsid w:val="0098758D"/>
    <w:rsid w:val="009A6004"/>
    <w:rsid w:val="009A63AE"/>
    <w:rsid w:val="009B0A90"/>
    <w:rsid w:val="009C064A"/>
    <w:rsid w:val="009C1BD2"/>
    <w:rsid w:val="009C3F47"/>
    <w:rsid w:val="009D1EB6"/>
    <w:rsid w:val="009D2951"/>
    <w:rsid w:val="009D4A45"/>
    <w:rsid w:val="009D707E"/>
    <w:rsid w:val="009E40C9"/>
    <w:rsid w:val="009E4310"/>
    <w:rsid w:val="009E4DE2"/>
    <w:rsid w:val="009F2732"/>
    <w:rsid w:val="009F2BF2"/>
    <w:rsid w:val="009F4339"/>
    <w:rsid w:val="009F4D3D"/>
    <w:rsid w:val="009F5B50"/>
    <w:rsid w:val="00A02B29"/>
    <w:rsid w:val="00A030F0"/>
    <w:rsid w:val="00A05F87"/>
    <w:rsid w:val="00A07E6D"/>
    <w:rsid w:val="00A11367"/>
    <w:rsid w:val="00A15770"/>
    <w:rsid w:val="00A170FD"/>
    <w:rsid w:val="00A176B7"/>
    <w:rsid w:val="00A219CE"/>
    <w:rsid w:val="00A21B73"/>
    <w:rsid w:val="00A22884"/>
    <w:rsid w:val="00A27A92"/>
    <w:rsid w:val="00A27C5D"/>
    <w:rsid w:val="00A32C86"/>
    <w:rsid w:val="00A35BC5"/>
    <w:rsid w:val="00A428B8"/>
    <w:rsid w:val="00A442C3"/>
    <w:rsid w:val="00A45342"/>
    <w:rsid w:val="00A45A8A"/>
    <w:rsid w:val="00A54FEF"/>
    <w:rsid w:val="00A57B70"/>
    <w:rsid w:val="00A62311"/>
    <w:rsid w:val="00A661DB"/>
    <w:rsid w:val="00A71024"/>
    <w:rsid w:val="00A72D95"/>
    <w:rsid w:val="00A754BB"/>
    <w:rsid w:val="00A75EAE"/>
    <w:rsid w:val="00A81834"/>
    <w:rsid w:val="00A84DC9"/>
    <w:rsid w:val="00A8635D"/>
    <w:rsid w:val="00A900B4"/>
    <w:rsid w:val="00A9629B"/>
    <w:rsid w:val="00AA01A3"/>
    <w:rsid w:val="00AA298F"/>
    <w:rsid w:val="00AA3A7B"/>
    <w:rsid w:val="00AA76BA"/>
    <w:rsid w:val="00AB53D5"/>
    <w:rsid w:val="00AC4A15"/>
    <w:rsid w:val="00AD0C27"/>
    <w:rsid w:val="00AE3FD9"/>
    <w:rsid w:val="00AE4D70"/>
    <w:rsid w:val="00AE4F9D"/>
    <w:rsid w:val="00AF3B54"/>
    <w:rsid w:val="00AF45BD"/>
    <w:rsid w:val="00AF4842"/>
    <w:rsid w:val="00AF556E"/>
    <w:rsid w:val="00AF5D0A"/>
    <w:rsid w:val="00AF7FDD"/>
    <w:rsid w:val="00B01845"/>
    <w:rsid w:val="00B0525D"/>
    <w:rsid w:val="00B0794B"/>
    <w:rsid w:val="00B07AC9"/>
    <w:rsid w:val="00B12118"/>
    <w:rsid w:val="00B13292"/>
    <w:rsid w:val="00B31FC7"/>
    <w:rsid w:val="00B408F1"/>
    <w:rsid w:val="00B46F45"/>
    <w:rsid w:val="00B4708B"/>
    <w:rsid w:val="00B5273B"/>
    <w:rsid w:val="00B5438F"/>
    <w:rsid w:val="00B555F0"/>
    <w:rsid w:val="00B602FC"/>
    <w:rsid w:val="00B627C5"/>
    <w:rsid w:val="00B62EA4"/>
    <w:rsid w:val="00B7113B"/>
    <w:rsid w:val="00B84069"/>
    <w:rsid w:val="00B84544"/>
    <w:rsid w:val="00B854C6"/>
    <w:rsid w:val="00B8575F"/>
    <w:rsid w:val="00B9065C"/>
    <w:rsid w:val="00B911E0"/>
    <w:rsid w:val="00B917CF"/>
    <w:rsid w:val="00B9492E"/>
    <w:rsid w:val="00BA22AE"/>
    <w:rsid w:val="00BA59C8"/>
    <w:rsid w:val="00BA64DB"/>
    <w:rsid w:val="00BB00B8"/>
    <w:rsid w:val="00BB2309"/>
    <w:rsid w:val="00BB3041"/>
    <w:rsid w:val="00BC0FE5"/>
    <w:rsid w:val="00BC314E"/>
    <w:rsid w:val="00BC4130"/>
    <w:rsid w:val="00BC4592"/>
    <w:rsid w:val="00BD14EA"/>
    <w:rsid w:val="00BD1F3C"/>
    <w:rsid w:val="00BD2078"/>
    <w:rsid w:val="00BD4B9D"/>
    <w:rsid w:val="00BD5B68"/>
    <w:rsid w:val="00BD7711"/>
    <w:rsid w:val="00BE154E"/>
    <w:rsid w:val="00BE5791"/>
    <w:rsid w:val="00BE7AAA"/>
    <w:rsid w:val="00BF4326"/>
    <w:rsid w:val="00BF4CB6"/>
    <w:rsid w:val="00C00B93"/>
    <w:rsid w:val="00C01152"/>
    <w:rsid w:val="00C028B4"/>
    <w:rsid w:val="00C207C7"/>
    <w:rsid w:val="00C2474A"/>
    <w:rsid w:val="00C248A2"/>
    <w:rsid w:val="00C27B15"/>
    <w:rsid w:val="00C3045A"/>
    <w:rsid w:val="00C31061"/>
    <w:rsid w:val="00C35666"/>
    <w:rsid w:val="00C35754"/>
    <w:rsid w:val="00C36F15"/>
    <w:rsid w:val="00C42CA5"/>
    <w:rsid w:val="00C42D4C"/>
    <w:rsid w:val="00C44A74"/>
    <w:rsid w:val="00C6086C"/>
    <w:rsid w:val="00C6093F"/>
    <w:rsid w:val="00C6282C"/>
    <w:rsid w:val="00C6537F"/>
    <w:rsid w:val="00C65DAD"/>
    <w:rsid w:val="00C74AAD"/>
    <w:rsid w:val="00C75D86"/>
    <w:rsid w:val="00C80A1B"/>
    <w:rsid w:val="00C81AF1"/>
    <w:rsid w:val="00C81DE5"/>
    <w:rsid w:val="00C87D0D"/>
    <w:rsid w:val="00CB09B5"/>
    <w:rsid w:val="00CB3E66"/>
    <w:rsid w:val="00CB48C8"/>
    <w:rsid w:val="00CC2301"/>
    <w:rsid w:val="00CC3A2F"/>
    <w:rsid w:val="00CC75BD"/>
    <w:rsid w:val="00CD040A"/>
    <w:rsid w:val="00CD4F0E"/>
    <w:rsid w:val="00CE35A7"/>
    <w:rsid w:val="00CE35AD"/>
    <w:rsid w:val="00CE37D4"/>
    <w:rsid w:val="00CF61FD"/>
    <w:rsid w:val="00CF6B93"/>
    <w:rsid w:val="00D22AAF"/>
    <w:rsid w:val="00D2682B"/>
    <w:rsid w:val="00D309A0"/>
    <w:rsid w:val="00D333E1"/>
    <w:rsid w:val="00D34A4A"/>
    <w:rsid w:val="00D35E77"/>
    <w:rsid w:val="00D36CE2"/>
    <w:rsid w:val="00D43519"/>
    <w:rsid w:val="00D4439D"/>
    <w:rsid w:val="00D45108"/>
    <w:rsid w:val="00D4563A"/>
    <w:rsid w:val="00D46799"/>
    <w:rsid w:val="00D46BE5"/>
    <w:rsid w:val="00D47BD4"/>
    <w:rsid w:val="00D47E40"/>
    <w:rsid w:val="00D524D0"/>
    <w:rsid w:val="00D53729"/>
    <w:rsid w:val="00D563C2"/>
    <w:rsid w:val="00D61AF9"/>
    <w:rsid w:val="00D656C9"/>
    <w:rsid w:val="00D66E03"/>
    <w:rsid w:val="00D6772D"/>
    <w:rsid w:val="00D733ED"/>
    <w:rsid w:val="00D777C7"/>
    <w:rsid w:val="00D81C6C"/>
    <w:rsid w:val="00D835A8"/>
    <w:rsid w:val="00D83C72"/>
    <w:rsid w:val="00D843FB"/>
    <w:rsid w:val="00D85BC8"/>
    <w:rsid w:val="00D85E2A"/>
    <w:rsid w:val="00D9135F"/>
    <w:rsid w:val="00DA1E59"/>
    <w:rsid w:val="00DA4E4B"/>
    <w:rsid w:val="00DA7B8C"/>
    <w:rsid w:val="00DB3F6A"/>
    <w:rsid w:val="00DC0AE9"/>
    <w:rsid w:val="00DC4421"/>
    <w:rsid w:val="00DC4CC7"/>
    <w:rsid w:val="00DC4DB3"/>
    <w:rsid w:val="00DC5762"/>
    <w:rsid w:val="00DD46AD"/>
    <w:rsid w:val="00DD755B"/>
    <w:rsid w:val="00DE1751"/>
    <w:rsid w:val="00DF0A33"/>
    <w:rsid w:val="00DF1518"/>
    <w:rsid w:val="00DF2A31"/>
    <w:rsid w:val="00DF4151"/>
    <w:rsid w:val="00DF562A"/>
    <w:rsid w:val="00DF633B"/>
    <w:rsid w:val="00DF793D"/>
    <w:rsid w:val="00E07A3A"/>
    <w:rsid w:val="00E110CB"/>
    <w:rsid w:val="00E1217F"/>
    <w:rsid w:val="00E14C97"/>
    <w:rsid w:val="00E16228"/>
    <w:rsid w:val="00E2187D"/>
    <w:rsid w:val="00E22178"/>
    <w:rsid w:val="00E235CD"/>
    <w:rsid w:val="00E2697D"/>
    <w:rsid w:val="00E323C0"/>
    <w:rsid w:val="00E335D9"/>
    <w:rsid w:val="00E54A54"/>
    <w:rsid w:val="00E54F92"/>
    <w:rsid w:val="00E5681B"/>
    <w:rsid w:val="00E609B1"/>
    <w:rsid w:val="00E61D6B"/>
    <w:rsid w:val="00E6542A"/>
    <w:rsid w:val="00E65B3E"/>
    <w:rsid w:val="00E65EC5"/>
    <w:rsid w:val="00E714DE"/>
    <w:rsid w:val="00E746B0"/>
    <w:rsid w:val="00E8290A"/>
    <w:rsid w:val="00E84285"/>
    <w:rsid w:val="00E84A1E"/>
    <w:rsid w:val="00E92F98"/>
    <w:rsid w:val="00E93107"/>
    <w:rsid w:val="00E978CE"/>
    <w:rsid w:val="00E97AA0"/>
    <w:rsid w:val="00EA0B11"/>
    <w:rsid w:val="00EA13A0"/>
    <w:rsid w:val="00EA289A"/>
    <w:rsid w:val="00EA2C3A"/>
    <w:rsid w:val="00EA4295"/>
    <w:rsid w:val="00EA5962"/>
    <w:rsid w:val="00EB1E71"/>
    <w:rsid w:val="00EB46FD"/>
    <w:rsid w:val="00EB55C2"/>
    <w:rsid w:val="00EC0863"/>
    <w:rsid w:val="00EC15A5"/>
    <w:rsid w:val="00EC22EC"/>
    <w:rsid w:val="00EC7EFD"/>
    <w:rsid w:val="00ED18BC"/>
    <w:rsid w:val="00ED389E"/>
    <w:rsid w:val="00ED4F00"/>
    <w:rsid w:val="00EE3F7C"/>
    <w:rsid w:val="00EE45F7"/>
    <w:rsid w:val="00EE4D18"/>
    <w:rsid w:val="00EE6D62"/>
    <w:rsid w:val="00EF0573"/>
    <w:rsid w:val="00EF37DC"/>
    <w:rsid w:val="00F05805"/>
    <w:rsid w:val="00F067B8"/>
    <w:rsid w:val="00F11B86"/>
    <w:rsid w:val="00F12423"/>
    <w:rsid w:val="00F12558"/>
    <w:rsid w:val="00F12D44"/>
    <w:rsid w:val="00F1467E"/>
    <w:rsid w:val="00F17C75"/>
    <w:rsid w:val="00F211E8"/>
    <w:rsid w:val="00F213BF"/>
    <w:rsid w:val="00F21CDF"/>
    <w:rsid w:val="00F2213F"/>
    <w:rsid w:val="00F30ABB"/>
    <w:rsid w:val="00F34280"/>
    <w:rsid w:val="00F34444"/>
    <w:rsid w:val="00F40B7E"/>
    <w:rsid w:val="00F46A1C"/>
    <w:rsid w:val="00F51D96"/>
    <w:rsid w:val="00F5203D"/>
    <w:rsid w:val="00F55BBA"/>
    <w:rsid w:val="00F55F86"/>
    <w:rsid w:val="00F576DE"/>
    <w:rsid w:val="00F60544"/>
    <w:rsid w:val="00F6078C"/>
    <w:rsid w:val="00F63483"/>
    <w:rsid w:val="00F67638"/>
    <w:rsid w:val="00F81124"/>
    <w:rsid w:val="00F84BAE"/>
    <w:rsid w:val="00F860D5"/>
    <w:rsid w:val="00F9153E"/>
    <w:rsid w:val="00F921A7"/>
    <w:rsid w:val="00F930CB"/>
    <w:rsid w:val="00F9529A"/>
    <w:rsid w:val="00F95B07"/>
    <w:rsid w:val="00F97C32"/>
    <w:rsid w:val="00FA33CA"/>
    <w:rsid w:val="00FA4D9A"/>
    <w:rsid w:val="00FA5098"/>
    <w:rsid w:val="00FB262E"/>
    <w:rsid w:val="00FB5054"/>
    <w:rsid w:val="00FC4637"/>
    <w:rsid w:val="00FC4A58"/>
    <w:rsid w:val="00FE11CD"/>
    <w:rsid w:val="00FE2DD3"/>
    <w:rsid w:val="00FE60FE"/>
    <w:rsid w:val="00FE6CEA"/>
    <w:rsid w:val="00FF103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3A4E"/>
  <w15:docId w15:val="{B9838F54-9BEC-48BD-BFDF-84710A42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7055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70552"/>
    <w:pPr>
      <w:spacing w:after="0" w:line="240" w:lineRule="auto"/>
    </w:pPr>
  </w:style>
  <w:style w:type="table" w:styleId="Tabelraster">
    <w:name w:val="Table Grid"/>
    <w:basedOn w:val="Standaardtabel"/>
    <w:uiPriority w:val="59"/>
    <w:rsid w:val="00170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70552"/>
    <w:rPr>
      <w:color w:val="0000FF" w:themeColor="hyperlink"/>
      <w:u w:val="single"/>
    </w:rPr>
  </w:style>
  <w:style w:type="paragraph" w:styleId="Ballontekst">
    <w:name w:val="Balloon Text"/>
    <w:basedOn w:val="Standaard"/>
    <w:link w:val="BallontekstChar"/>
    <w:uiPriority w:val="99"/>
    <w:semiHidden/>
    <w:unhideWhenUsed/>
    <w:rsid w:val="008877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7764"/>
    <w:rPr>
      <w:rFonts w:ascii="Tahoma" w:hAnsi="Tahoma" w:cs="Tahoma"/>
      <w:sz w:val="16"/>
      <w:szCs w:val="16"/>
      <w:lang w:val="en-GB"/>
    </w:rPr>
  </w:style>
  <w:style w:type="paragraph" w:styleId="Voetnoottekst">
    <w:name w:val="footnote text"/>
    <w:basedOn w:val="Standaard"/>
    <w:link w:val="VoetnoottekstChar"/>
    <w:uiPriority w:val="99"/>
    <w:semiHidden/>
    <w:unhideWhenUsed/>
    <w:rsid w:val="00F3444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34444"/>
    <w:rPr>
      <w:sz w:val="20"/>
      <w:szCs w:val="20"/>
      <w:lang w:val="en-GB"/>
    </w:rPr>
  </w:style>
  <w:style w:type="character" w:styleId="Voetnootmarkering">
    <w:name w:val="footnote reference"/>
    <w:basedOn w:val="Standaardalinea-lettertype"/>
    <w:uiPriority w:val="99"/>
    <w:semiHidden/>
    <w:unhideWhenUsed/>
    <w:rsid w:val="00F34444"/>
    <w:rPr>
      <w:vertAlign w:val="superscript"/>
    </w:rPr>
  </w:style>
  <w:style w:type="character" w:styleId="Verwijzingopmerking">
    <w:name w:val="annotation reference"/>
    <w:basedOn w:val="Standaardalinea-lettertype"/>
    <w:uiPriority w:val="99"/>
    <w:semiHidden/>
    <w:unhideWhenUsed/>
    <w:rsid w:val="006F69BA"/>
    <w:rPr>
      <w:sz w:val="16"/>
      <w:szCs w:val="16"/>
    </w:rPr>
  </w:style>
  <w:style w:type="paragraph" w:styleId="Tekstopmerking">
    <w:name w:val="annotation text"/>
    <w:basedOn w:val="Standaard"/>
    <w:link w:val="TekstopmerkingChar"/>
    <w:uiPriority w:val="99"/>
    <w:semiHidden/>
    <w:unhideWhenUsed/>
    <w:rsid w:val="006F69B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F69BA"/>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6F69BA"/>
    <w:rPr>
      <w:b/>
      <w:bCs/>
    </w:rPr>
  </w:style>
  <w:style w:type="character" w:customStyle="1" w:styleId="OnderwerpvanopmerkingChar">
    <w:name w:val="Onderwerp van opmerking Char"/>
    <w:basedOn w:val="TekstopmerkingChar"/>
    <w:link w:val="Onderwerpvanopmerking"/>
    <w:uiPriority w:val="99"/>
    <w:semiHidden/>
    <w:rsid w:val="006F69BA"/>
    <w:rPr>
      <w:b/>
      <w:bCs/>
      <w:sz w:val="20"/>
      <w:szCs w:val="20"/>
      <w:lang w:val="en-GB"/>
    </w:rPr>
  </w:style>
  <w:style w:type="paragraph" w:styleId="Revisie">
    <w:name w:val="Revision"/>
    <w:hidden/>
    <w:uiPriority w:val="99"/>
    <w:semiHidden/>
    <w:rsid w:val="006F69BA"/>
    <w:pPr>
      <w:spacing w:after="0" w:line="240" w:lineRule="auto"/>
    </w:pPr>
  </w:style>
  <w:style w:type="paragraph" w:styleId="Koptekst">
    <w:name w:val="header"/>
    <w:basedOn w:val="Standaard"/>
    <w:link w:val="KoptekstChar"/>
    <w:uiPriority w:val="99"/>
    <w:unhideWhenUsed/>
    <w:rsid w:val="00D47BD4"/>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47BD4"/>
    <w:rPr>
      <w:lang w:val="en-GB"/>
    </w:rPr>
  </w:style>
  <w:style w:type="paragraph" w:styleId="Voettekst">
    <w:name w:val="footer"/>
    <w:basedOn w:val="Standaard"/>
    <w:link w:val="VoettekstChar"/>
    <w:uiPriority w:val="99"/>
    <w:unhideWhenUsed/>
    <w:rsid w:val="00D47BD4"/>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47BD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ba.nl/tools-en-voorbeelden/model-bewerkersovereenkoms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0E0866A-9154-40CF-A87A-0AA10A26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1727</Words>
  <Characters>9845</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hbraam</dc:creator>
  <cp:lastModifiedBy>Gebruiker</cp:lastModifiedBy>
  <cp:revision>3</cp:revision>
  <cp:lastPrinted>2018-05-08T14:47:00Z</cp:lastPrinted>
  <dcterms:created xsi:type="dcterms:W3CDTF">2018-06-15T12:29:00Z</dcterms:created>
  <dcterms:modified xsi:type="dcterms:W3CDTF">2018-06-15T12:29:00Z</dcterms:modified>
</cp:coreProperties>
</file>