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B66" w:rsidRPr="001D7B66" w:rsidRDefault="001D7B66" w:rsidP="001D7B66">
      <w:pPr>
        <w:rPr>
          <w:rFonts w:cs="Arial"/>
          <w:b/>
          <w:sz w:val="24"/>
          <w:lang w:eastAsia="nl-NL"/>
        </w:rPr>
      </w:pPr>
      <w:r w:rsidRPr="001D7B66">
        <w:rPr>
          <w:rFonts w:cs="Arial"/>
          <w:b/>
          <w:sz w:val="24"/>
          <w:lang w:eastAsia="nl-NL"/>
        </w:rPr>
        <w:t xml:space="preserve">Voorbeeldbrief inlichten management of en met </w:t>
      </w:r>
      <w:proofErr w:type="spellStart"/>
      <w:r w:rsidRPr="001D7B66">
        <w:rPr>
          <w:rFonts w:cs="Arial"/>
          <w:b/>
          <w:sz w:val="24"/>
          <w:lang w:eastAsia="nl-NL"/>
        </w:rPr>
        <w:t>governance</w:t>
      </w:r>
      <w:proofErr w:type="spellEnd"/>
      <w:r w:rsidRPr="001D7B66">
        <w:rPr>
          <w:rFonts w:cs="Arial"/>
          <w:b/>
          <w:sz w:val="24"/>
          <w:lang w:eastAsia="nl-NL"/>
        </w:rPr>
        <w:t xml:space="preserve"> belaste personen bij aanwijzingen van fraude</w:t>
      </w:r>
    </w:p>
    <w:p w:rsidR="008618FF" w:rsidRDefault="008618FF"/>
    <w:p w:rsidR="001D7B66" w:rsidRPr="001D7B66" w:rsidRDefault="001D7B66">
      <w:r w:rsidRPr="001D7B66">
        <w:t>NAW-gegevens cliënt</w:t>
      </w:r>
    </w:p>
    <w:p w:rsidR="001D7B66" w:rsidRPr="001D7B66" w:rsidRDefault="001D7B66"/>
    <w:p w:rsidR="001D7B66" w:rsidRPr="001D7B66" w:rsidRDefault="001D7B66">
      <w:pPr>
        <w:rPr>
          <w:szCs w:val="22"/>
        </w:rPr>
      </w:pPr>
      <w:r w:rsidRPr="001D7B66">
        <w:t xml:space="preserve">Betreft: </w:t>
      </w:r>
      <w:r w:rsidRPr="001D7B66">
        <w:rPr>
          <w:szCs w:val="22"/>
        </w:rPr>
        <w:t>Aanwijzingen voor mogelijke onregelmatigheden</w:t>
      </w:r>
      <w:r w:rsidRPr="001D7B66">
        <w:rPr>
          <w:b/>
          <w:szCs w:val="22"/>
        </w:rPr>
        <w:t xml:space="preserve"> / </w:t>
      </w:r>
      <w:r w:rsidRPr="001D7B66">
        <w:rPr>
          <w:szCs w:val="22"/>
        </w:rPr>
        <w:t>fraude</w:t>
      </w:r>
    </w:p>
    <w:p w:rsidR="001D7B66" w:rsidRPr="001D7B66" w:rsidRDefault="001D7B66">
      <w:pPr>
        <w:rPr>
          <w:szCs w:val="22"/>
        </w:rPr>
      </w:pPr>
    </w:p>
    <w:p w:rsidR="001D7B66" w:rsidRDefault="001D7B66" w:rsidP="001D7B66">
      <w:r>
        <w:t xml:space="preserve">In het kader van onze opdracht tot </w:t>
      </w:r>
      <w:r w:rsidRPr="001D7B66">
        <w:rPr>
          <w:b/>
        </w:rPr>
        <w:t>&lt;omschrijving opdracht (bijvoorbeeld de controle van de jaarrekening 20XX) &gt;</w:t>
      </w:r>
      <w:r>
        <w:t xml:space="preserve"> van </w:t>
      </w:r>
      <w:r w:rsidRPr="001D7B66">
        <w:rPr>
          <w:b/>
        </w:rPr>
        <w:t>&lt;naam cliënt&gt;</w:t>
      </w:r>
      <w:r>
        <w:t xml:space="preserve"> </w:t>
      </w:r>
      <w:r w:rsidRPr="001D7B66">
        <w:rPr>
          <w:b/>
        </w:rPr>
        <w:t>heeft u ons geïnformeerd over/hebben wij aanwijzingen</w:t>
      </w:r>
      <w:r>
        <w:t xml:space="preserve"> voor mogelijke onregelmatigheden, waaronder fraude met betrekking tot </w:t>
      </w:r>
      <w:r w:rsidRPr="001D7B66">
        <w:rPr>
          <w:b/>
        </w:rPr>
        <w:t>&lt;beschrijven&gt;</w:t>
      </w:r>
      <w:r>
        <w:rPr>
          <w:rStyle w:val="Voetnootmarkering"/>
          <w:b/>
        </w:rPr>
        <w:footnoteReference w:id="1"/>
      </w:r>
      <w:r>
        <w:t xml:space="preserve">  geconstateerd.</w:t>
      </w:r>
    </w:p>
    <w:p w:rsidR="001D7B66" w:rsidRDefault="001D7B66" w:rsidP="001D7B66"/>
    <w:p w:rsidR="001D7B66" w:rsidRDefault="001D7B66" w:rsidP="001D7B66">
      <w:r>
        <w:t>Uit hoofde van het voornoemde zijn wij in het kader van de [Verordening (EU) Nr. 537/2014</w:t>
      </w:r>
      <w:r>
        <w:rPr>
          <w:rStyle w:val="Voetnootmarkering"/>
        </w:rPr>
        <w:footnoteReference w:id="2"/>
      </w:r>
      <w:r>
        <w:t xml:space="preserve">  / Wet toezicht </w:t>
      </w:r>
      <w:proofErr w:type="spellStart"/>
      <w:r>
        <w:t>accountants¬organisaties</w:t>
      </w:r>
      <w:proofErr w:type="spellEnd"/>
      <w:r>
        <w:t xml:space="preserve"> (</w:t>
      </w:r>
      <w:proofErr w:type="spellStart"/>
      <w:r>
        <w:t>Wta</w:t>
      </w:r>
      <w:proofErr w:type="spellEnd"/>
      <w:r>
        <w:t>), het Besluit toezicht accountantsorganisaties (</w:t>
      </w:r>
      <w:proofErr w:type="spellStart"/>
      <w:r>
        <w:t>Bta</w:t>
      </w:r>
      <w:proofErr w:type="spellEnd"/>
      <w:r>
        <w:t>)</w:t>
      </w:r>
      <w:r>
        <w:t xml:space="preserve"> </w:t>
      </w:r>
      <w:r>
        <w:rPr>
          <w:rStyle w:val="Voetnootmarkering"/>
        </w:rPr>
        <w:footnoteReference w:id="3"/>
      </w:r>
      <w:r>
        <w:t>] en de Nederlandse controlestandaarden (Standaard 240: De verantwoordelijkheden van de accountant met betrekking tot fraude in het kader van een controle van financiële overzichten en/of Standaard 250</w:t>
      </w:r>
      <w:r>
        <w:rPr>
          <w:rStyle w:val="Voetnootmarkering"/>
        </w:rPr>
        <w:footnoteReference w:id="4"/>
      </w:r>
      <w:r>
        <w:t>: Het in aanmerking nemen van wet- en regelgeving bij een controle van financiële overzichten) verplicht een dergelijke aanwijzing aan u te melden en aanvullende controlewerkzaamheden uit te voeren.</w:t>
      </w:r>
    </w:p>
    <w:p w:rsidR="001D7B66" w:rsidRDefault="001D7B66" w:rsidP="001D7B66"/>
    <w:p w:rsidR="001D7B66" w:rsidRDefault="001D7B66" w:rsidP="001D7B66">
      <w:r>
        <w:t>De aanvullende controlewerkzaamheden zullen worden uitgevoerd binnen de hiervoor geldende wet- en regelgeving en in overeenstemming met onze opdrachtbevestiging voor &lt;</w:t>
      </w:r>
      <w:r>
        <w:rPr>
          <w:b/>
        </w:rPr>
        <w:t>omschrijving opdracht (bijvoorbeeld de controle van de jaarrekening 20XX)&gt;</w:t>
      </w:r>
      <w:r>
        <w:t xml:space="preserve">. </w:t>
      </w:r>
      <w:r w:rsidRPr="00912291">
        <w:t>[</w:t>
      </w:r>
      <w:r w:rsidRPr="00912291">
        <w:rPr>
          <w:b/>
        </w:rPr>
        <w:t xml:space="preserve">Indien van toepassing: </w:t>
      </w:r>
      <w:r>
        <w:rPr>
          <w:b/>
        </w:rPr>
        <w:t>Waar mogelijk</w:t>
      </w:r>
      <w:r w:rsidRPr="00912291">
        <w:rPr>
          <w:b/>
        </w:rPr>
        <w:t xml:space="preserve"> zullen wij daarbij gebruikmaken van </w:t>
      </w:r>
      <w:r w:rsidRPr="00912291">
        <w:rPr>
          <w:b/>
          <w:szCs w:val="22"/>
        </w:rPr>
        <w:t>de onderzoeken gericht op het in kaart brengen van de aard en omvang van de (mogelijke) onregelmatigheden die al door u / door &lt;Naam&gt; in uw opdracht zijn uitgevoerd.&gt;</w:t>
      </w:r>
      <w:r w:rsidRPr="00912291">
        <w:t>]</w:t>
      </w:r>
    </w:p>
    <w:p w:rsidR="001D7B66" w:rsidRDefault="001D7B66" w:rsidP="001D7B66"/>
    <w:p w:rsidR="001D7B66" w:rsidRDefault="001D7B66" w:rsidP="001D7B66">
      <w:r>
        <w:t>Indien het onderzoek door een andere partij wordt uitgevoerd</w:t>
      </w:r>
      <w:r>
        <w:rPr>
          <w:rStyle w:val="Voetnootmarkering"/>
        </w:rPr>
        <w:footnoteReference w:id="5"/>
      </w:r>
      <w:r>
        <w:t xml:space="preserve"> is het wenselijk &lt;</w:t>
      </w:r>
      <w:r w:rsidRPr="004B4C2A">
        <w:rPr>
          <w:b/>
        </w:rPr>
        <w:t>naam accountantskantoor</w:t>
      </w:r>
      <w:r>
        <w:t>&gt; te betrekken bij de opdrachtformulering van het aanvullende onderzoek voor zover relevant voor &lt;</w:t>
      </w:r>
      <w:r>
        <w:rPr>
          <w:b/>
        </w:rPr>
        <w:t>omschrijving opdracht (bijvoorbeeld de controle van de jaarrekening 20XX)&gt;</w:t>
      </w:r>
      <w:r>
        <w:t>. Voorts is het noodzakelijk dat &lt;</w:t>
      </w:r>
      <w:r w:rsidRPr="004B4C2A">
        <w:rPr>
          <w:b/>
        </w:rPr>
        <w:t>naam accountantskantoor</w:t>
      </w:r>
      <w:r>
        <w:t xml:space="preserve">&gt; kennisneemt van de schriftelijke rapportage betreffende het aanvullende onderzoek. Mochten wij geen kennis kunnen nemen van de relevante bevindingen uit het aanvullende onderzoek dan wel voldoet het aanvullende onderzoek niet aan de daaraan te stellen eisen, dan heeft dit mogelijk consequenties voor de door ons uit te voeren aanvullende controlewerkzaamheden. Op grond van onze beroepsregels kunnen wij geen beperkingen in de </w:t>
      </w:r>
      <w:proofErr w:type="spellStart"/>
      <w:r>
        <w:t>controleinformatie</w:t>
      </w:r>
      <w:proofErr w:type="spellEnd"/>
      <w:r>
        <w:t xml:space="preserve"> accepteren als gevolg van het feit dat betrokken advocaten zich beroepen op de geheimhoudingplicht waaronder het professioneel verschoningsrecht.</w:t>
      </w:r>
    </w:p>
    <w:p w:rsidR="001D7B66" w:rsidRDefault="001D7B66" w:rsidP="001D7B66"/>
    <w:p w:rsidR="001D7B66" w:rsidRDefault="001D7B66" w:rsidP="001D7B66">
      <w:pPr>
        <w:pStyle w:val="Plattetekst"/>
      </w:pPr>
      <w:r>
        <w:t>Indien het wenselijk is dat &lt;</w:t>
      </w:r>
      <w:r w:rsidRPr="004B4C2A">
        <w:rPr>
          <w:b/>
        </w:rPr>
        <w:t>naam accountantskantoor</w:t>
      </w:r>
      <w:r>
        <w:t xml:space="preserve">&gt; het onderzoek naar mogelijke onregelmatigheden uitvoert dan zullen wij hiervoor een separate opdrachtbevestiging opstellen. Dit fraudeonderzoek zal dan worden uitgevoerd met in achtneming van geldende </w:t>
      </w:r>
      <w:r>
        <w:lastRenderedPageBreak/>
        <w:t>wet- en regelgeving (toepassing van de handreiking persoonsgerichte onderzoeken kan dan relevant zijn).</w:t>
      </w:r>
      <w:r>
        <w:rPr>
          <w:rStyle w:val="Voetnootmarkering"/>
        </w:rPr>
        <w:footnoteReference w:id="6"/>
      </w:r>
    </w:p>
    <w:p w:rsidR="001D7B66" w:rsidRDefault="001D7B66" w:rsidP="001D7B66">
      <w:pPr>
        <w:pStyle w:val="Plattetekst"/>
      </w:pPr>
      <w:r>
        <w:t>Daarnaast zullen wij de door u getroffen/te treffen corrigerende maatregelen beoordelen.</w:t>
      </w:r>
    </w:p>
    <w:p w:rsidR="001D7B66" w:rsidRDefault="001D7B66" w:rsidP="001D7B66">
      <w:pPr>
        <w:pStyle w:val="Plattetekst"/>
      </w:pPr>
      <w:r>
        <w:t>Wij zullen u zo spoedig mogelijk van de uitkomsten van onze werkzaamheden op de hoogte stellen. Wij merken op dat de aanvullende controlewerkzaamheden er niet op gericht zijn een oordeel te geven over het functioneren, het handelen of nalaten van personen en/of partijen. De uitkomsten van onze werkzaamheden kunnen niet voor deze doeleinden worden gebruikt</w:t>
      </w:r>
    </w:p>
    <w:p w:rsidR="001D7B66" w:rsidRDefault="001D7B66" w:rsidP="001D7B66">
      <w:pPr>
        <w:pStyle w:val="Plattetekst"/>
      </w:pPr>
      <w:r>
        <w:rPr>
          <w:b/>
        </w:rPr>
        <w:t xml:space="preserve">Optioneel: </w:t>
      </w:r>
      <w:r>
        <w:t>Indien en voor zover wij een separate schriftelijke rapportage uitbrengen inzake de aanvullende controlewerkzaamheden, dan is deze uitsluitend bedoeld voor &lt;</w:t>
      </w:r>
      <w:r w:rsidRPr="00EE316B">
        <w:rPr>
          <w:b/>
        </w:rPr>
        <w:t>opdrachtgever</w:t>
      </w:r>
      <w:r>
        <w:t>&gt;. We willen benadrukken dat de verspreiding van een dergelijk rapport beperkt is tot de hiervoor genoemde personen of partijen. De rapportage mag niet zonder schriftelijke toestemming van &lt;</w:t>
      </w:r>
      <w:r w:rsidRPr="004B4C2A">
        <w:rPr>
          <w:b/>
        </w:rPr>
        <w:t>naam accountantskantoor</w:t>
      </w:r>
      <w:r>
        <w:t>&gt; aan derden (intern of extern) worden verstrekt of anderszins vrijgegeven of geheel of gedeeltelijk geciteerd worden. Evenmin mag er aan deze rapportage gerefereerd worden. Derden kunnen aan (onderdelen of de inhoud van) deze rapportage geen rechten ontlenen.</w:t>
      </w:r>
    </w:p>
    <w:p w:rsidR="001D7B66" w:rsidRPr="00993A95" w:rsidRDefault="001D7B66" w:rsidP="001D7B66">
      <w:pPr>
        <w:pStyle w:val="Plattetekst"/>
      </w:pPr>
      <w:r>
        <w:t xml:space="preserve">Op basis van de regelgeving in de standaarden kunnen wij de </w:t>
      </w:r>
      <w:r w:rsidRPr="00EE316B">
        <w:t>verklaring</w:t>
      </w:r>
      <w:r>
        <w:rPr>
          <w:b/>
        </w:rPr>
        <w:t xml:space="preserve"> </w:t>
      </w:r>
      <w:r>
        <w:t xml:space="preserve">niet eerder verstrekken dan het moment waarop de controle (inclusief het hier aangekondigde aanvullende onderzoek dat in voldoende mate moet zijn afgerond) is afgerond en vastgesteld is dat de </w:t>
      </w:r>
      <w:r>
        <w:rPr>
          <w:b/>
        </w:rPr>
        <w:t>&lt;jaarrekening / object van onderzoek&gt;</w:t>
      </w:r>
      <w:r>
        <w:t xml:space="preserve"> geen materiële afwijking als gevolg van fraude of fouten </w:t>
      </w:r>
      <w:r w:rsidRPr="009274B5">
        <w:t>bevat</w:t>
      </w:r>
      <w:r>
        <w:t xml:space="preserve">. </w:t>
      </w:r>
    </w:p>
    <w:p w:rsidR="001D7B66" w:rsidRDefault="001D7B66" w:rsidP="001D7B66">
      <w:r>
        <w:rPr>
          <w:b/>
        </w:rPr>
        <w:t xml:space="preserve">Optioneel: </w:t>
      </w:r>
      <w:r>
        <w:t>De kosten van de aanvullende controlewerkzaamheden zullen separaat aan u in rekening worden gebracht.</w:t>
      </w:r>
    </w:p>
    <w:p w:rsidR="001D7B66" w:rsidRDefault="001D7B66" w:rsidP="001D7B66"/>
    <w:p w:rsidR="001D7B66" w:rsidRDefault="001D7B66" w:rsidP="001D7B66">
      <w:r>
        <w:t>Hoogachtend,</w:t>
      </w:r>
    </w:p>
    <w:p w:rsidR="001D7B66" w:rsidRDefault="001D7B66" w:rsidP="001D7B66"/>
    <w:p w:rsidR="001D7B66" w:rsidRPr="001D7B66" w:rsidRDefault="001D7B66" w:rsidP="001D7B66">
      <w:pPr>
        <w:rPr>
          <w:b/>
        </w:rPr>
      </w:pPr>
      <w:bookmarkStart w:id="0" w:name="_GoBack"/>
      <w:r w:rsidRPr="001D7B66">
        <w:rPr>
          <w:b/>
        </w:rPr>
        <w:t>&lt;naam accountantskantoor&gt;</w:t>
      </w:r>
      <w:bookmarkEnd w:id="0"/>
    </w:p>
    <w:sectPr w:rsidR="001D7B66" w:rsidRPr="001D7B6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627" w:rsidRDefault="00C12627" w:rsidP="001D7B66">
      <w:r>
        <w:separator/>
      </w:r>
    </w:p>
  </w:endnote>
  <w:endnote w:type="continuationSeparator" w:id="0">
    <w:p w:rsidR="00C12627" w:rsidRDefault="00C12627" w:rsidP="001D7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627" w:rsidRDefault="00C12627" w:rsidP="001D7B66">
      <w:r>
        <w:separator/>
      </w:r>
    </w:p>
  </w:footnote>
  <w:footnote w:type="continuationSeparator" w:id="0">
    <w:p w:rsidR="00C12627" w:rsidRDefault="00C12627" w:rsidP="001D7B66">
      <w:r>
        <w:continuationSeparator/>
      </w:r>
    </w:p>
  </w:footnote>
  <w:footnote w:id="1">
    <w:p w:rsidR="001D7B66" w:rsidRPr="001D7B66" w:rsidRDefault="001D7B66">
      <w:pPr>
        <w:pStyle w:val="Voetnoottekst"/>
        <w:rPr>
          <w:sz w:val="18"/>
        </w:rPr>
      </w:pPr>
      <w:r>
        <w:rPr>
          <w:rStyle w:val="Voetnootmarkering"/>
        </w:rPr>
        <w:footnoteRef/>
      </w:r>
      <w:r>
        <w:t xml:space="preserve"> </w:t>
      </w:r>
      <w:r w:rsidRPr="001D7B66">
        <w:rPr>
          <w:sz w:val="18"/>
        </w:rPr>
        <w:t>Onregelmatigheden kunnen betrekking hebben op fraude en/of het niet voldoen aan wet- en regelgeving.</w:t>
      </w:r>
    </w:p>
  </w:footnote>
  <w:footnote w:id="2">
    <w:p w:rsidR="001D7B66" w:rsidRPr="001D7B66" w:rsidRDefault="001D7B66">
      <w:pPr>
        <w:pStyle w:val="Voetnoottekst"/>
        <w:rPr>
          <w:sz w:val="18"/>
        </w:rPr>
      </w:pPr>
      <w:r>
        <w:rPr>
          <w:rStyle w:val="Voetnootmarkering"/>
        </w:rPr>
        <w:footnoteRef/>
      </w:r>
      <w:r>
        <w:t xml:space="preserve"> </w:t>
      </w:r>
      <w:r w:rsidRPr="001D7B66">
        <w:rPr>
          <w:sz w:val="18"/>
        </w:rPr>
        <w:t xml:space="preserve">De </w:t>
      </w:r>
      <w:hyperlink r:id="rId1" w:history="1">
        <w:r w:rsidRPr="001D7B66">
          <w:rPr>
            <w:rStyle w:val="Hyperlink"/>
            <w:sz w:val="18"/>
          </w:rPr>
          <w:t>EU-verordening</w:t>
        </w:r>
      </w:hyperlink>
      <w:r w:rsidRPr="001D7B66">
        <w:rPr>
          <w:sz w:val="18"/>
        </w:rPr>
        <w:t xml:space="preserve"> is van toepassing op </w:t>
      </w:r>
      <w:proofErr w:type="spellStart"/>
      <w:r w:rsidRPr="001D7B66">
        <w:rPr>
          <w:sz w:val="18"/>
        </w:rPr>
        <w:t>OOB’s</w:t>
      </w:r>
      <w:proofErr w:type="spellEnd"/>
      <w:r w:rsidRPr="001D7B66">
        <w:rPr>
          <w:sz w:val="18"/>
        </w:rPr>
        <w:t>. Artikel 7 is van toepassing indien sprake is van een vermoeden van onregelmatigheden (waaronder fraude m.b.t. de financiële overzichten). Artikel 12 is van toepassing indien sprake is van een materiële inbreuk op de wettelijke of bestuursrechtelijke bepalingen die, in voorkomend geval, de voorwaarden voor toelating regelen die specifiek de activiteiten van de OOB regelen. Artikel 12 geldt ook voor ondernemingen die nauwe banden hebben met de OOB waarvoor de wettelijke controle ook wordt uitgevoerd. De EU-verordening is van toepassing op boekjaren die aanvangen op of na 18 juni 2016.</w:t>
      </w:r>
    </w:p>
  </w:footnote>
  <w:footnote w:id="3">
    <w:p w:rsidR="001D7B66" w:rsidRPr="001D7B66" w:rsidRDefault="001D7B66">
      <w:pPr>
        <w:pStyle w:val="Voetnoottekst"/>
        <w:rPr>
          <w:sz w:val="18"/>
        </w:rPr>
      </w:pPr>
      <w:r>
        <w:rPr>
          <w:rStyle w:val="Voetnootmarkering"/>
        </w:rPr>
        <w:footnoteRef/>
      </w:r>
      <w:r>
        <w:t xml:space="preserve"> </w:t>
      </w:r>
      <w:r w:rsidRPr="001D7B66">
        <w:rPr>
          <w:sz w:val="18"/>
        </w:rPr>
        <w:t xml:space="preserve">De </w:t>
      </w:r>
      <w:hyperlink r:id="rId2" w:history="1">
        <w:proofErr w:type="spellStart"/>
        <w:r w:rsidRPr="001D7B66">
          <w:rPr>
            <w:rStyle w:val="Hyperlink"/>
            <w:sz w:val="18"/>
          </w:rPr>
          <w:t>Wta</w:t>
        </w:r>
        <w:proofErr w:type="spellEnd"/>
      </w:hyperlink>
      <w:r w:rsidRPr="001D7B66">
        <w:rPr>
          <w:sz w:val="18"/>
        </w:rPr>
        <w:t>/</w:t>
      </w:r>
      <w:proofErr w:type="spellStart"/>
      <w:r w:rsidRPr="001D7B66">
        <w:rPr>
          <w:sz w:val="18"/>
        </w:rPr>
        <w:fldChar w:fldCharType="begin"/>
      </w:r>
      <w:r w:rsidRPr="001D7B66">
        <w:rPr>
          <w:sz w:val="18"/>
        </w:rPr>
        <w:instrText xml:space="preserve"> HYPERLINK "http://maxius.nl/besluit-toezicht-accountantsorganisaties/artikel37" </w:instrText>
      </w:r>
      <w:r w:rsidRPr="001D7B66">
        <w:rPr>
          <w:sz w:val="18"/>
        </w:rPr>
        <w:fldChar w:fldCharType="separate"/>
      </w:r>
      <w:r w:rsidRPr="001D7B66">
        <w:rPr>
          <w:rStyle w:val="Hyperlink"/>
          <w:sz w:val="18"/>
        </w:rPr>
        <w:t>Bta</w:t>
      </w:r>
      <w:proofErr w:type="spellEnd"/>
      <w:r w:rsidRPr="001D7B66">
        <w:rPr>
          <w:rStyle w:val="Hyperlink"/>
          <w:sz w:val="18"/>
        </w:rPr>
        <w:fldChar w:fldCharType="end"/>
      </w:r>
      <w:r w:rsidRPr="001D7B66">
        <w:rPr>
          <w:sz w:val="18"/>
        </w:rPr>
        <w:t xml:space="preserve"> is van toepassing op wettelijke controles, niet zijnde </w:t>
      </w:r>
      <w:proofErr w:type="spellStart"/>
      <w:r>
        <w:rPr>
          <w:sz w:val="18"/>
        </w:rPr>
        <w:t>oob</w:t>
      </w:r>
      <w:r w:rsidRPr="001D7B66">
        <w:rPr>
          <w:sz w:val="18"/>
        </w:rPr>
        <w:t>’s</w:t>
      </w:r>
      <w:proofErr w:type="spellEnd"/>
      <w:r w:rsidRPr="001D7B66">
        <w:rPr>
          <w:sz w:val="18"/>
        </w:rPr>
        <w:t xml:space="preserve">. Ingeval geen sprake is van een </w:t>
      </w:r>
      <w:proofErr w:type="spellStart"/>
      <w:r>
        <w:rPr>
          <w:sz w:val="18"/>
        </w:rPr>
        <w:t>oob</w:t>
      </w:r>
      <w:proofErr w:type="spellEnd"/>
      <w:r w:rsidRPr="001D7B66">
        <w:rPr>
          <w:sz w:val="18"/>
        </w:rPr>
        <w:t xml:space="preserve"> / andere wettelijke controle dient uitsluitend verwezen te worden naar Standaard 240/250 en dient de verwijzing naar de EU-verordening / </w:t>
      </w:r>
      <w:proofErr w:type="spellStart"/>
      <w:r w:rsidRPr="001D7B66">
        <w:rPr>
          <w:sz w:val="18"/>
        </w:rPr>
        <w:t>Wta</w:t>
      </w:r>
      <w:proofErr w:type="spellEnd"/>
      <w:r w:rsidRPr="001D7B66">
        <w:rPr>
          <w:sz w:val="18"/>
        </w:rPr>
        <w:t xml:space="preserve"> en </w:t>
      </w:r>
      <w:proofErr w:type="spellStart"/>
      <w:r w:rsidRPr="001D7B66">
        <w:rPr>
          <w:sz w:val="18"/>
        </w:rPr>
        <w:t>Bta</w:t>
      </w:r>
      <w:proofErr w:type="spellEnd"/>
      <w:r w:rsidRPr="001D7B66">
        <w:rPr>
          <w:sz w:val="18"/>
        </w:rPr>
        <w:t xml:space="preserve"> te worden weggelaten.</w:t>
      </w:r>
    </w:p>
  </w:footnote>
  <w:footnote w:id="4">
    <w:p w:rsidR="001D7B66" w:rsidRPr="001D7B66" w:rsidRDefault="001D7B66">
      <w:pPr>
        <w:pStyle w:val="Voetnoottekst"/>
        <w:rPr>
          <w:sz w:val="18"/>
        </w:rPr>
      </w:pPr>
      <w:r>
        <w:rPr>
          <w:rStyle w:val="Voetnootmarkering"/>
        </w:rPr>
        <w:footnoteRef/>
      </w:r>
      <w:r>
        <w:t xml:space="preserve"> </w:t>
      </w:r>
      <w:r w:rsidRPr="006B0B64">
        <w:rPr>
          <w:sz w:val="18"/>
        </w:rPr>
        <w:t>COS 250.19 geef</w:t>
      </w:r>
      <w:r>
        <w:rPr>
          <w:sz w:val="18"/>
        </w:rPr>
        <w:t>t aan dat non-compliance geë</w:t>
      </w:r>
      <w:r w:rsidRPr="006B0B64">
        <w:rPr>
          <w:sz w:val="18"/>
        </w:rPr>
        <w:t>valueerd moet worden in het licht van een risico op een afwijking van materieel belang (nader toegelicht in de A-paragrafen</w:t>
      </w:r>
      <w:r>
        <w:rPr>
          <w:sz w:val="18"/>
        </w:rPr>
        <w:t xml:space="preserve"> en vergelijkbaar met COS </w:t>
      </w:r>
      <w:r w:rsidRPr="006B0B64">
        <w:rPr>
          <w:sz w:val="18"/>
        </w:rPr>
        <w:t xml:space="preserve">240.36 en </w:t>
      </w:r>
      <w:r>
        <w:rPr>
          <w:sz w:val="18"/>
        </w:rPr>
        <w:t xml:space="preserve">COS </w:t>
      </w:r>
      <w:r w:rsidRPr="006B0B64">
        <w:rPr>
          <w:sz w:val="18"/>
        </w:rPr>
        <w:t>240.37</w:t>
      </w:r>
      <w:r>
        <w:rPr>
          <w:sz w:val="18"/>
        </w:rPr>
        <w:t>)</w:t>
      </w:r>
      <w:r w:rsidRPr="006B0B64">
        <w:rPr>
          <w:sz w:val="18"/>
        </w:rPr>
        <w:t>.</w:t>
      </w:r>
    </w:p>
  </w:footnote>
  <w:footnote w:id="5">
    <w:p w:rsidR="001D7B66" w:rsidRPr="001D7B66" w:rsidRDefault="001D7B66" w:rsidP="001D7B66">
      <w:pPr>
        <w:pStyle w:val="Voetnoottekst"/>
        <w:rPr>
          <w:sz w:val="18"/>
        </w:rPr>
      </w:pPr>
      <w:r>
        <w:rPr>
          <w:rStyle w:val="Voetnootmarkering"/>
        </w:rPr>
        <w:footnoteRef/>
      </w:r>
      <w:r>
        <w:t xml:space="preserve"> </w:t>
      </w:r>
      <w:r w:rsidRPr="001D7B66">
        <w:rPr>
          <w:sz w:val="18"/>
        </w:rPr>
        <w:t>Hier wordt gerefereerd aan een onderzoek dat door de cliënt (intern of extern) wordt uitgevoerd.</w:t>
      </w:r>
    </w:p>
  </w:footnote>
  <w:footnote w:id="6">
    <w:p w:rsidR="001D7B66" w:rsidRDefault="001D7B66" w:rsidP="001D7B66">
      <w:pPr>
        <w:pStyle w:val="Voetnoottekst"/>
      </w:pPr>
      <w:r>
        <w:rPr>
          <w:rStyle w:val="Voetnootmarkering"/>
        </w:rPr>
        <w:footnoteRef/>
      </w:r>
      <w:r>
        <w:t xml:space="preserve"> </w:t>
      </w:r>
      <w:r w:rsidRPr="001D7B66">
        <w:rPr>
          <w:sz w:val="18"/>
        </w:rPr>
        <w:t>Van toepassing indien clië</w:t>
      </w:r>
      <w:r w:rsidRPr="001D7B66">
        <w:rPr>
          <w:sz w:val="18"/>
        </w:rPr>
        <w:t>nt de controlerend accountant dit vraagt. De accountant dient in dit kader bedreigingen van de uitgangspunten van de VGBA te evalueren (bijvoorbeeld de bedreiging van zelftoetsing).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B66"/>
    <w:rsid w:val="00006171"/>
    <w:rsid w:val="001D7B66"/>
    <w:rsid w:val="008618FF"/>
    <w:rsid w:val="00C12627"/>
    <w:rsid w:val="00F540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6A471"/>
  <w15:chartTrackingRefBased/>
  <w15:docId w15:val="{9AA492D7-4B1D-406D-A9D0-29C5D2942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D7B66"/>
    <w:pPr>
      <w:spacing w:after="0" w:line="240" w:lineRule="auto"/>
    </w:pPr>
    <w:rPr>
      <w:rFonts w:ascii="Arial" w:eastAsia="Times New Roman" w:hAnsi="Arial" w:cs="Times New Roman"/>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semiHidden/>
    <w:unhideWhenUsed/>
    <w:rsid w:val="001D7B66"/>
    <w:rPr>
      <w:sz w:val="20"/>
    </w:rPr>
  </w:style>
  <w:style w:type="character" w:customStyle="1" w:styleId="VoetnoottekstChar">
    <w:name w:val="Voetnoottekst Char"/>
    <w:basedOn w:val="Standaardalinea-lettertype"/>
    <w:link w:val="Voetnoottekst"/>
    <w:semiHidden/>
    <w:rsid w:val="001D7B66"/>
    <w:rPr>
      <w:rFonts w:ascii="Arial" w:eastAsia="Times New Roman" w:hAnsi="Arial" w:cs="Times New Roman"/>
      <w:sz w:val="20"/>
      <w:szCs w:val="20"/>
    </w:rPr>
  </w:style>
  <w:style w:type="character" w:styleId="Voetnootmarkering">
    <w:name w:val="footnote reference"/>
    <w:basedOn w:val="Standaardalinea-lettertype"/>
    <w:semiHidden/>
    <w:unhideWhenUsed/>
    <w:rsid w:val="001D7B66"/>
    <w:rPr>
      <w:vertAlign w:val="superscript"/>
    </w:rPr>
  </w:style>
  <w:style w:type="character" w:styleId="Hyperlink">
    <w:name w:val="Hyperlink"/>
    <w:basedOn w:val="Standaardalinea-lettertype"/>
    <w:unhideWhenUsed/>
    <w:rsid w:val="001D7B66"/>
    <w:rPr>
      <w:color w:val="0563C1" w:themeColor="hyperlink"/>
      <w:u w:val="single"/>
    </w:rPr>
  </w:style>
  <w:style w:type="paragraph" w:styleId="Plattetekst">
    <w:name w:val="Body Text"/>
    <w:basedOn w:val="Standaard"/>
    <w:link w:val="PlattetekstChar"/>
    <w:qFormat/>
    <w:rsid w:val="001D7B66"/>
    <w:pPr>
      <w:spacing w:before="120" w:after="120"/>
    </w:pPr>
  </w:style>
  <w:style w:type="character" w:customStyle="1" w:styleId="PlattetekstChar">
    <w:name w:val="Platte tekst Char"/>
    <w:basedOn w:val="Standaardalinea-lettertype"/>
    <w:link w:val="Plattetekst"/>
    <w:rsid w:val="001D7B66"/>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maxius.nl/wet-toezicht-accountantsorganisaties/artikel26/" TargetMode="External"/><Relationship Id="rId1" Type="http://schemas.openxmlformats.org/officeDocument/2006/relationships/hyperlink" Target="http://eur-lex.europa.eu/legal-content/NL/TXT/HTML/?uri=CELEX:32014R0537&amp;from=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FF66FB6-342C-4220-B326-6D4174636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686</Words>
  <Characters>3779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NBA</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Prikken</dc:creator>
  <cp:keywords/>
  <dc:description/>
  <cp:lastModifiedBy>Hans Prikken</cp:lastModifiedBy>
  <cp:revision>1</cp:revision>
  <dcterms:created xsi:type="dcterms:W3CDTF">2019-12-11T13:46:00Z</dcterms:created>
  <dcterms:modified xsi:type="dcterms:W3CDTF">2019-12-11T13:57:00Z</dcterms:modified>
</cp:coreProperties>
</file>