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35" w:rsidRDefault="00302735" w:rsidP="00302735">
      <w:pPr>
        <w:pStyle w:val="Plattetekst"/>
        <w:rPr>
          <w:rFonts w:eastAsia="Calibri"/>
          <w:lang w:val="nl-NL"/>
        </w:rPr>
      </w:pPr>
    </w:p>
    <w:p w:rsidR="00302735" w:rsidRPr="00BE393B" w:rsidRDefault="00302735" w:rsidP="00302735">
      <w:pPr>
        <w:pStyle w:val="Plattetekst"/>
        <w:rPr>
          <w:rFonts w:eastAsia="Calibri" w:cs="Arial"/>
          <w:iCs/>
          <w:lang w:val="nl-NL"/>
        </w:rPr>
      </w:pPr>
    </w:p>
    <w:p w:rsidR="00302735" w:rsidRPr="00302735" w:rsidRDefault="00302735" w:rsidP="00302735">
      <w:pPr>
        <w:pStyle w:val="Kop1"/>
        <w:rPr>
          <w:lang w:val="nl-NL"/>
        </w:rPr>
      </w:pPr>
      <w:bookmarkStart w:id="0" w:name="_GoBack"/>
      <w:bookmarkEnd w:id="0"/>
      <w:r w:rsidRPr="00FA5732">
        <w:rPr>
          <w:lang w:val="nl-NL"/>
        </w:rPr>
        <w:t>Bestuursverklaring vermogensscheiding</w:t>
      </w:r>
    </w:p>
    <w:p w:rsidR="00302735" w:rsidRPr="00420082" w:rsidRDefault="00302735" w:rsidP="00302735">
      <w:pPr>
        <w:pStyle w:val="Plattetekst"/>
        <w:spacing w:after="160"/>
        <w:jc w:val="both"/>
        <w:rPr>
          <w:lang w:val="nl-NL"/>
        </w:rPr>
      </w:pPr>
      <w:r>
        <w:rPr>
          <w:lang w:val="nl-NL"/>
        </w:rPr>
        <w:t>Het</w:t>
      </w:r>
      <w:r w:rsidRPr="00420082">
        <w:rPr>
          <w:lang w:val="nl-NL"/>
        </w:rPr>
        <w:t xml:space="preserve"> bijgaand </w:t>
      </w:r>
      <w:r>
        <w:rPr>
          <w:lang w:val="nl-NL"/>
        </w:rPr>
        <w:t>overzicht in sectie 3</w:t>
      </w:r>
      <w:r w:rsidRPr="00420082">
        <w:rPr>
          <w:lang w:val="nl-NL"/>
        </w:rPr>
        <w:t xml:space="preserve"> </w:t>
      </w:r>
      <w:r>
        <w:rPr>
          <w:lang w:val="nl-NL"/>
        </w:rPr>
        <w:t>‘Be</w:t>
      </w:r>
      <w:r w:rsidRPr="0096248D">
        <w:rPr>
          <w:lang w:val="nl-NL"/>
        </w:rPr>
        <w:t>schrijving van de wetgeving en de gerelateerde maatregelen, aangevuld met beschrijving van de procedures en bevindingen van de onafhankelijke accountant</w:t>
      </w:r>
      <w:r>
        <w:rPr>
          <w:lang w:val="nl-NL"/>
        </w:rPr>
        <w:t>’</w:t>
      </w:r>
      <w:r w:rsidRPr="00420082">
        <w:rPr>
          <w:lang w:val="nl-NL"/>
        </w:rPr>
        <w:t xml:space="preserve"> is opgesteld door het </w:t>
      </w:r>
      <w:r>
        <w:rPr>
          <w:lang w:val="nl-NL"/>
        </w:rPr>
        <w:t>bestuur</w:t>
      </w:r>
      <w:r w:rsidRPr="00420082">
        <w:rPr>
          <w:lang w:val="nl-NL"/>
        </w:rPr>
        <w:t xml:space="preserve"> van </w:t>
      </w:r>
      <w:r>
        <w:rPr>
          <w:lang w:val="nl-NL"/>
        </w:rPr>
        <w:t>… (entiteit)</w:t>
      </w:r>
      <w:r w:rsidRPr="00420082">
        <w:rPr>
          <w:lang w:val="nl-NL"/>
        </w:rPr>
        <w:t xml:space="preserve"> voor </w:t>
      </w:r>
      <w:r>
        <w:rPr>
          <w:lang w:val="nl-NL"/>
        </w:rPr>
        <w:t xml:space="preserve">de </w:t>
      </w:r>
      <w:r w:rsidRPr="00420082">
        <w:rPr>
          <w:lang w:val="nl-NL"/>
        </w:rPr>
        <w:t>Autoriteit Financiële Markten om inzicht te geven in de</w:t>
      </w:r>
      <w:r>
        <w:rPr>
          <w:lang w:val="nl-NL"/>
        </w:rPr>
        <w:t xml:space="preserve"> deugdelijkheid van de</w:t>
      </w:r>
      <w:r w:rsidRPr="00420082">
        <w:rPr>
          <w:lang w:val="nl-NL"/>
        </w:rPr>
        <w:t xml:space="preserve"> in onze bedrijfsvoering getroffen maatregelen </w:t>
      </w:r>
      <w:r>
        <w:rPr>
          <w:lang w:val="nl-NL"/>
        </w:rPr>
        <w:t>ten aanzien van vermogensscheiding.</w:t>
      </w:r>
    </w:p>
    <w:p w:rsidR="00302735" w:rsidRDefault="00302735" w:rsidP="00302735">
      <w:pPr>
        <w:pStyle w:val="Plattetekst"/>
        <w:spacing w:after="160"/>
        <w:jc w:val="both"/>
        <w:rPr>
          <w:lang w:val="nl-NL"/>
        </w:rPr>
      </w:pPr>
      <w:r w:rsidRPr="00420082">
        <w:rPr>
          <w:lang w:val="nl-NL"/>
        </w:rPr>
        <w:t xml:space="preserve">Wij zijn verantwoordelijk </w:t>
      </w:r>
      <w:r>
        <w:rPr>
          <w:lang w:val="nl-NL"/>
        </w:rPr>
        <w:t xml:space="preserve">voor </w:t>
      </w:r>
      <w:r w:rsidRPr="00420082">
        <w:rPr>
          <w:lang w:val="nl-NL"/>
        </w:rPr>
        <w:t>het in onze bedrijfsvoering treffen van maatregelen om te voldoen aan de artikelen 165 tot en met 165</w:t>
      </w:r>
      <w:r>
        <w:rPr>
          <w:lang w:val="nl-NL"/>
        </w:rPr>
        <w:t>f</w:t>
      </w:r>
      <w:r w:rsidRPr="00420082">
        <w:rPr>
          <w:lang w:val="nl-NL"/>
        </w:rPr>
        <w:t xml:space="preserve"> van </w:t>
      </w:r>
      <w:r>
        <w:rPr>
          <w:lang w:val="nl-NL"/>
        </w:rPr>
        <w:t xml:space="preserve">het Besluit Gedragstoezicht financiële ondernemingen </w:t>
      </w:r>
      <w:proofErr w:type="spellStart"/>
      <w:r>
        <w:rPr>
          <w:lang w:val="nl-NL"/>
        </w:rPr>
        <w:t>Wft</w:t>
      </w:r>
      <w:proofErr w:type="spellEnd"/>
      <w:r>
        <w:rPr>
          <w:lang w:val="nl-NL"/>
        </w:rPr>
        <w:t xml:space="preserve"> (</w:t>
      </w:r>
      <w:proofErr w:type="spellStart"/>
      <w:r w:rsidRPr="00420082">
        <w:rPr>
          <w:lang w:val="nl-NL"/>
        </w:rPr>
        <w:t>BGfo</w:t>
      </w:r>
      <w:proofErr w:type="spellEnd"/>
      <w:r w:rsidRPr="00420082">
        <w:rPr>
          <w:lang w:val="nl-NL"/>
        </w:rPr>
        <w:t xml:space="preserve"> </w:t>
      </w:r>
      <w:proofErr w:type="spellStart"/>
      <w:r w:rsidRPr="00420082">
        <w:rPr>
          <w:lang w:val="nl-NL"/>
        </w:rPr>
        <w:t>Wft</w:t>
      </w:r>
      <w:proofErr w:type="spellEnd"/>
      <w:r>
        <w:rPr>
          <w:lang w:val="nl-NL"/>
        </w:rPr>
        <w:t>)</w:t>
      </w:r>
      <w:r w:rsidRPr="00420082">
        <w:rPr>
          <w:lang w:val="nl-NL"/>
        </w:rPr>
        <w:t xml:space="preserve">. </w:t>
      </w:r>
    </w:p>
    <w:p w:rsidR="00302735" w:rsidRDefault="00302735" w:rsidP="00302735">
      <w:pPr>
        <w:pStyle w:val="Plattetekst"/>
        <w:spacing w:after="160"/>
        <w:jc w:val="both"/>
        <w:rPr>
          <w:lang w:val="nl-NL"/>
        </w:rPr>
      </w:pPr>
      <w:r>
        <w:rPr>
          <w:lang w:val="nl-NL"/>
        </w:rPr>
        <w:t>Wij bevestigen naar beste weten en overtuiging dat:</w:t>
      </w:r>
    </w:p>
    <w:p w:rsidR="00302735" w:rsidRPr="00C24607" w:rsidRDefault="00302735" w:rsidP="00302735">
      <w:pPr>
        <w:pStyle w:val="Plattetekst"/>
        <w:numPr>
          <w:ilvl w:val="0"/>
          <w:numId w:val="1"/>
        </w:numPr>
        <w:spacing w:before="120" w:after="160"/>
        <w:ind w:left="426" w:hanging="426"/>
        <w:rPr>
          <w:rFonts w:cs="Arial"/>
          <w:lang w:val="nl-NL"/>
        </w:rPr>
      </w:pPr>
      <w:r w:rsidRPr="00851B98">
        <w:rPr>
          <w:lang w:val="nl-NL"/>
        </w:rPr>
        <w:t xml:space="preserve">bijgaand overzicht </w:t>
      </w:r>
      <w:r>
        <w:rPr>
          <w:lang w:val="nl-NL"/>
        </w:rPr>
        <w:t xml:space="preserve">in sectie 3 de in onze </w:t>
      </w:r>
      <w:r w:rsidRPr="00851B98">
        <w:rPr>
          <w:lang w:val="nl-NL"/>
        </w:rPr>
        <w:t xml:space="preserve">bedrijfsvoering getroffen maatregelen per … (datum) </w:t>
      </w:r>
      <w:r>
        <w:rPr>
          <w:lang w:val="nl-NL"/>
        </w:rPr>
        <w:t>getrouw weergeeft in</w:t>
      </w:r>
      <w:r w:rsidRPr="00851B98">
        <w:rPr>
          <w:lang w:val="nl-NL"/>
        </w:rPr>
        <w:t xml:space="preserve"> overeenstemming met de van toepassing zijnde criteria</w:t>
      </w:r>
      <w:r>
        <w:rPr>
          <w:lang w:val="nl-NL"/>
        </w:rPr>
        <w:t xml:space="preserve">. </w:t>
      </w:r>
      <w:r w:rsidRPr="00851B98">
        <w:rPr>
          <w:lang w:val="nl-NL"/>
        </w:rPr>
        <w:t>De criteria waarvan gebruik w</w:t>
      </w:r>
      <w:r w:rsidRPr="00C24607">
        <w:rPr>
          <w:rFonts w:cs="Arial"/>
          <w:lang w:val="nl-NL"/>
        </w:rPr>
        <w:t xml:space="preserve">erd gemaakt bij het maken van deze bewering </w:t>
      </w:r>
      <w:r>
        <w:rPr>
          <w:rFonts w:cs="Arial"/>
          <w:lang w:val="nl-NL"/>
        </w:rPr>
        <w:t>hielden het volgende in</w:t>
      </w:r>
      <w:r w:rsidRPr="00C24607">
        <w:rPr>
          <w:rFonts w:cs="Arial"/>
          <w:lang w:val="nl-NL"/>
        </w:rPr>
        <w:t>:</w:t>
      </w:r>
    </w:p>
    <w:p w:rsidR="00302735" w:rsidRPr="00FA5732" w:rsidRDefault="00302735" w:rsidP="00302735">
      <w:pPr>
        <w:numPr>
          <w:ilvl w:val="0"/>
          <w:numId w:val="2"/>
        </w:numPr>
        <w:tabs>
          <w:tab w:val="clear" w:pos="900"/>
        </w:tabs>
        <w:spacing w:line="260" w:lineRule="atLeast"/>
        <w:ind w:left="851" w:hanging="284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het</w:t>
      </w:r>
      <w:r w:rsidRPr="00EE3E82">
        <w:rPr>
          <w:rFonts w:cs="Arial"/>
          <w:color w:val="000000"/>
          <w:lang w:val="nl-NL"/>
        </w:rPr>
        <w:t xml:space="preserve"> overzicht </w:t>
      </w:r>
      <w:r>
        <w:rPr>
          <w:rFonts w:cs="Arial"/>
          <w:color w:val="000000"/>
          <w:lang w:val="nl-NL"/>
        </w:rPr>
        <w:t xml:space="preserve">geeft </w:t>
      </w:r>
      <w:r w:rsidRPr="00EE3E82">
        <w:rPr>
          <w:rFonts w:cs="Arial"/>
          <w:color w:val="000000"/>
          <w:lang w:val="nl-NL"/>
        </w:rPr>
        <w:t>per wetsartikel volledig en nauwkeurig weer welke maatregelen zijn opgezet en geïmplementeerd</w:t>
      </w:r>
      <w:r>
        <w:rPr>
          <w:rFonts w:cs="Arial"/>
          <w:color w:val="000000"/>
          <w:lang w:val="nl-NL"/>
        </w:rPr>
        <w:t>;</w:t>
      </w:r>
    </w:p>
    <w:p w:rsidR="00302735" w:rsidRPr="00EE3E82" w:rsidRDefault="00302735" w:rsidP="00302735">
      <w:pPr>
        <w:numPr>
          <w:ilvl w:val="0"/>
          <w:numId w:val="2"/>
        </w:numPr>
        <w:tabs>
          <w:tab w:val="clear" w:pos="900"/>
        </w:tabs>
        <w:spacing w:after="160" w:line="260" w:lineRule="atLeast"/>
        <w:ind w:left="851" w:hanging="284"/>
        <w:jc w:val="both"/>
        <w:rPr>
          <w:rFonts w:cs="Arial"/>
          <w:lang w:val="nl-NL"/>
        </w:rPr>
      </w:pPr>
      <w:r>
        <w:rPr>
          <w:rFonts w:cs="Arial"/>
          <w:color w:val="000000"/>
          <w:lang w:val="nl-NL"/>
        </w:rPr>
        <w:t>i</w:t>
      </w:r>
      <w:r w:rsidRPr="00EE3E82">
        <w:rPr>
          <w:rFonts w:cs="Arial"/>
          <w:color w:val="000000"/>
          <w:lang w:val="nl-NL"/>
        </w:rPr>
        <w:t xml:space="preserve">n het overzicht </w:t>
      </w:r>
      <w:r>
        <w:rPr>
          <w:rFonts w:cs="Arial"/>
          <w:color w:val="000000"/>
          <w:lang w:val="nl-NL"/>
        </w:rPr>
        <w:t xml:space="preserve">is </w:t>
      </w:r>
      <w:r w:rsidRPr="00EE3E82">
        <w:rPr>
          <w:rFonts w:cs="Arial"/>
          <w:color w:val="000000"/>
          <w:lang w:val="nl-NL"/>
        </w:rPr>
        <w:t>geen informatie weggelaten of verkeerd voorgesteld die relevant is voor de vermogensscheiding</w:t>
      </w:r>
      <w:r>
        <w:rPr>
          <w:rFonts w:cs="Arial"/>
          <w:color w:val="000000"/>
          <w:lang w:val="nl-NL"/>
        </w:rPr>
        <w:t>.</w:t>
      </w:r>
    </w:p>
    <w:p w:rsidR="00302735" w:rsidRPr="00C24607" w:rsidRDefault="00302735" w:rsidP="00302735">
      <w:pPr>
        <w:pStyle w:val="Plattetekst"/>
        <w:numPr>
          <w:ilvl w:val="0"/>
          <w:numId w:val="1"/>
        </w:numPr>
        <w:spacing w:before="120" w:after="160"/>
        <w:ind w:left="426" w:hanging="426"/>
        <w:jc w:val="both"/>
        <w:rPr>
          <w:rFonts w:cs="Arial"/>
          <w:lang w:val="nl-NL"/>
        </w:rPr>
      </w:pPr>
      <w:r w:rsidRPr="00FA5732">
        <w:rPr>
          <w:lang w:val="nl-NL"/>
        </w:rPr>
        <w:t xml:space="preserve">in de bedrijfsvoering getroffen maatregelen deugdelijk </w:t>
      </w:r>
      <w:r>
        <w:rPr>
          <w:lang w:val="nl-NL"/>
        </w:rPr>
        <w:t xml:space="preserve">zijn </w:t>
      </w:r>
      <w:r w:rsidRPr="00FA5732">
        <w:rPr>
          <w:lang w:val="nl-NL"/>
        </w:rPr>
        <w:t>opgezet om te voldoen aan de artikelen 165 tot en met 165</w:t>
      </w:r>
      <w:r>
        <w:rPr>
          <w:lang w:val="nl-NL"/>
        </w:rPr>
        <w:t>f</w:t>
      </w:r>
      <w:r w:rsidRPr="00FA5732">
        <w:rPr>
          <w:lang w:val="nl-NL"/>
        </w:rPr>
        <w:t xml:space="preserve"> </w:t>
      </w:r>
      <w:proofErr w:type="spellStart"/>
      <w:r w:rsidRPr="00FA5732">
        <w:rPr>
          <w:lang w:val="nl-NL"/>
        </w:rPr>
        <w:t>BGfo</w:t>
      </w:r>
      <w:proofErr w:type="spellEnd"/>
      <w:r w:rsidRPr="00FA5732">
        <w:rPr>
          <w:lang w:val="nl-NL"/>
        </w:rPr>
        <w:t xml:space="preserve"> </w:t>
      </w:r>
      <w:proofErr w:type="spellStart"/>
      <w:r w:rsidRPr="00FA5732">
        <w:rPr>
          <w:lang w:val="nl-NL"/>
        </w:rPr>
        <w:t>Wft</w:t>
      </w:r>
      <w:proofErr w:type="spellEnd"/>
      <w:r w:rsidRPr="00FA5732">
        <w:rPr>
          <w:lang w:val="nl-NL"/>
        </w:rPr>
        <w:t>. De criteria waarvan bij het maken van deze bewering gebruik werd gemaakt</w:t>
      </w:r>
      <w:r>
        <w:rPr>
          <w:lang w:val="nl-NL"/>
        </w:rPr>
        <w:t xml:space="preserve"> hielden het volgende in</w:t>
      </w:r>
      <w:r w:rsidRPr="00FA5732">
        <w:rPr>
          <w:lang w:val="nl-NL"/>
        </w:rPr>
        <w:t>:</w:t>
      </w:r>
      <w:r w:rsidRPr="00FA5732">
        <w:rPr>
          <w:rFonts w:cs="Arial"/>
          <w:lang w:val="nl-NL"/>
        </w:rPr>
        <w:t xml:space="preserve"> </w:t>
      </w:r>
    </w:p>
    <w:p w:rsidR="00302735" w:rsidRPr="00FA5732" w:rsidRDefault="00302735" w:rsidP="00302735">
      <w:pPr>
        <w:numPr>
          <w:ilvl w:val="0"/>
          <w:numId w:val="4"/>
        </w:numPr>
        <w:tabs>
          <w:tab w:val="clear" w:pos="900"/>
        </w:tabs>
        <w:spacing w:line="260" w:lineRule="atLeast"/>
        <w:ind w:left="851" w:hanging="284"/>
        <w:rPr>
          <w:rFonts w:cs="Arial"/>
          <w:color w:val="000000"/>
          <w:lang w:val="nl-NL"/>
        </w:rPr>
      </w:pPr>
      <w:r>
        <w:rPr>
          <w:lang w:val="nl-NL"/>
        </w:rPr>
        <w:t>d</w:t>
      </w:r>
      <w:r w:rsidRPr="00FA5732">
        <w:rPr>
          <w:lang w:val="nl-NL"/>
        </w:rPr>
        <w:t xml:space="preserve">e </w:t>
      </w:r>
      <w:r>
        <w:rPr>
          <w:lang w:val="nl-NL"/>
        </w:rPr>
        <w:t>risico’s</w:t>
      </w:r>
      <w:r w:rsidRPr="00FA5732">
        <w:rPr>
          <w:lang w:val="nl-NL"/>
        </w:rPr>
        <w:t xml:space="preserve"> die het naleven van de artikelen 165 tot en met </w:t>
      </w:r>
      <w:r>
        <w:rPr>
          <w:lang w:val="nl-NL"/>
        </w:rPr>
        <w:t>165f</w:t>
      </w:r>
      <w:r w:rsidRPr="00FA5732">
        <w:rPr>
          <w:lang w:val="nl-NL"/>
        </w:rPr>
        <w:t xml:space="preserve"> </w:t>
      </w:r>
      <w:proofErr w:type="spellStart"/>
      <w:r w:rsidRPr="00FA5732">
        <w:rPr>
          <w:lang w:val="nl-NL"/>
        </w:rPr>
        <w:t>BGfo</w:t>
      </w:r>
      <w:proofErr w:type="spellEnd"/>
      <w:r w:rsidRPr="00FA5732">
        <w:rPr>
          <w:lang w:val="nl-NL"/>
        </w:rPr>
        <w:t xml:space="preserve"> </w:t>
      </w:r>
      <w:proofErr w:type="spellStart"/>
      <w:r w:rsidRPr="00FA5732">
        <w:rPr>
          <w:lang w:val="nl-NL"/>
        </w:rPr>
        <w:t>Wft</w:t>
      </w:r>
      <w:proofErr w:type="spellEnd"/>
      <w:r w:rsidRPr="00FA5732">
        <w:rPr>
          <w:lang w:val="nl-NL"/>
        </w:rPr>
        <w:t xml:space="preserve"> in gevaar brengen</w:t>
      </w:r>
      <w:r>
        <w:rPr>
          <w:lang w:val="nl-NL"/>
        </w:rPr>
        <w:t>, werden geïdentificeerd door het bestuur</w:t>
      </w:r>
      <w:r w:rsidRPr="00FA5732">
        <w:rPr>
          <w:lang w:val="nl-NL"/>
        </w:rPr>
        <w:t>;</w:t>
      </w:r>
      <w:r w:rsidRPr="00FA5732">
        <w:rPr>
          <w:rFonts w:cs="Arial"/>
          <w:color w:val="000000"/>
          <w:lang w:val="nl-NL"/>
        </w:rPr>
        <w:t xml:space="preserve"> </w:t>
      </w:r>
    </w:p>
    <w:p w:rsidR="00302735" w:rsidRPr="00FA5732" w:rsidRDefault="00302735" w:rsidP="00302735">
      <w:pPr>
        <w:numPr>
          <w:ilvl w:val="0"/>
          <w:numId w:val="4"/>
        </w:numPr>
        <w:tabs>
          <w:tab w:val="clear" w:pos="900"/>
        </w:tabs>
        <w:spacing w:line="260" w:lineRule="atLeast"/>
        <w:ind w:left="851" w:hanging="284"/>
        <w:rPr>
          <w:rFonts w:cs="Arial"/>
          <w:color w:val="000000"/>
          <w:lang w:val="nl-NL"/>
        </w:rPr>
      </w:pPr>
      <w:r>
        <w:rPr>
          <w:lang w:val="nl-NL"/>
        </w:rPr>
        <w:t>d</w:t>
      </w:r>
      <w:r w:rsidRPr="00851B98">
        <w:rPr>
          <w:lang w:val="nl-NL"/>
        </w:rPr>
        <w:t xml:space="preserve">e </w:t>
      </w:r>
      <w:r>
        <w:rPr>
          <w:lang w:val="nl-NL"/>
        </w:rPr>
        <w:t>in de bedrijfsvoering getroffen ma</w:t>
      </w:r>
      <w:r w:rsidRPr="00851B98">
        <w:rPr>
          <w:lang w:val="nl-NL"/>
        </w:rPr>
        <w:t xml:space="preserve">atregelen </w:t>
      </w:r>
      <w:r>
        <w:rPr>
          <w:lang w:val="nl-NL"/>
        </w:rPr>
        <w:t>verschaffen</w:t>
      </w:r>
      <w:r w:rsidRPr="00851B98">
        <w:rPr>
          <w:lang w:val="nl-NL"/>
        </w:rPr>
        <w:t xml:space="preserve">, indien zij werken zoals beschreven, een redelijke mate van zekerheid dat die risico’s het </w:t>
      </w:r>
      <w:r>
        <w:rPr>
          <w:lang w:val="nl-NL"/>
        </w:rPr>
        <w:t>naleven</w:t>
      </w:r>
      <w:r w:rsidRPr="00851B98">
        <w:rPr>
          <w:lang w:val="nl-NL"/>
        </w:rPr>
        <w:t xml:space="preserve"> van </w:t>
      </w:r>
      <w:r>
        <w:rPr>
          <w:lang w:val="nl-NL"/>
        </w:rPr>
        <w:t xml:space="preserve">de artikelen 165 tot en met 165f </w:t>
      </w:r>
      <w:proofErr w:type="spellStart"/>
      <w:r>
        <w:rPr>
          <w:lang w:val="nl-NL"/>
        </w:rPr>
        <w:t>BGfo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Wft</w:t>
      </w:r>
      <w:proofErr w:type="spellEnd"/>
      <w:r w:rsidRPr="00851B98">
        <w:rPr>
          <w:lang w:val="nl-NL"/>
        </w:rPr>
        <w:t xml:space="preserve"> niet </w:t>
      </w:r>
      <w:r>
        <w:rPr>
          <w:lang w:val="nl-NL"/>
        </w:rPr>
        <w:t xml:space="preserve">zouden </w:t>
      </w:r>
      <w:r w:rsidRPr="00851B98">
        <w:rPr>
          <w:lang w:val="nl-NL"/>
        </w:rPr>
        <w:t>verhinderen</w:t>
      </w:r>
      <w:r>
        <w:rPr>
          <w:lang w:val="nl-NL"/>
        </w:rPr>
        <w:t>.</w:t>
      </w:r>
    </w:p>
    <w:p w:rsidR="00302735" w:rsidRPr="00FA5732" w:rsidRDefault="00302735" w:rsidP="00302735">
      <w:pPr>
        <w:spacing w:after="60" w:line="20" w:lineRule="atLeast"/>
        <w:jc w:val="both"/>
        <w:rPr>
          <w:rFonts w:cs="Arial"/>
          <w:b/>
          <w:lang w:val="nl-NL"/>
        </w:rPr>
      </w:pPr>
    </w:p>
    <w:p w:rsidR="00302735" w:rsidRPr="00FA5732" w:rsidRDefault="00302735" w:rsidP="00302735">
      <w:pPr>
        <w:rPr>
          <w:rFonts w:eastAsia="Calibri" w:cs="Arial"/>
          <w:lang w:val="nl-NL"/>
        </w:rPr>
      </w:pPr>
      <w:r w:rsidRPr="00FA5732">
        <w:rPr>
          <w:rFonts w:eastAsia="Calibri" w:cs="Arial"/>
          <w:lang w:val="nl-NL"/>
        </w:rPr>
        <w:t xml:space="preserve">Plaats en datum </w:t>
      </w:r>
    </w:p>
    <w:p w:rsidR="00302735" w:rsidRPr="00FA5732" w:rsidRDefault="00302735" w:rsidP="00302735">
      <w:pPr>
        <w:rPr>
          <w:rFonts w:eastAsia="Calibri" w:cs="Arial"/>
          <w:lang w:val="nl-NL"/>
        </w:rPr>
      </w:pPr>
    </w:p>
    <w:p w:rsidR="00302735" w:rsidRPr="00FA5732" w:rsidRDefault="00302735" w:rsidP="00302735">
      <w:pPr>
        <w:rPr>
          <w:rFonts w:eastAsia="Calibri" w:cs="Arial"/>
          <w:lang w:val="nl-NL"/>
        </w:rPr>
      </w:pPr>
      <w:r w:rsidRPr="00FA5732">
        <w:rPr>
          <w:rFonts w:eastAsia="Calibri" w:cs="Arial"/>
          <w:lang w:val="nl-NL"/>
        </w:rPr>
        <w:t xml:space="preserve">... (naam bank) </w:t>
      </w:r>
    </w:p>
    <w:p w:rsidR="00302735" w:rsidRPr="00FA5732" w:rsidRDefault="00302735" w:rsidP="00302735">
      <w:pPr>
        <w:rPr>
          <w:rFonts w:eastAsia="Calibri" w:cs="Arial"/>
          <w:lang w:val="nl-NL"/>
        </w:rPr>
      </w:pPr>
    </w:p>
    <w:p w:rsidR="00302735" w:rsidRPr="00FA5732" w:rsidRDefault="00302735" w:rsidP="00302735">
      <w:pPr>
        <w:rPr>
          <w:rFonts w:cs="Arial"/>
          <w:lang w:val="nl-NL"/>
        </w:rPr>
      </w:pPr>
      <w:r w:rsidRPr="00FA5732">
        <w:rPr>
          <w:rFonts w:eastAsia="Calibri" w:cs="Arial"/>
          <w:lang w:val="nl-NL"/>
        </w:rPr>
        <w:t>... (naam management, functie</w:t>
      </w:r>
    </w:p>
    <w:p w:rsidR="00A70B26" w:rsidRPr="00302735" w:rsidRDefault="001A1AC1" w:rsidP="00302735">
      <w:pPr>
        <w:spacing w:after="160" w:line="259" w:lineRule="auto"/>
        <w:rPr>
          <w:rFonts w:cs="Arial"/>
          <w:lang w:val="nl-NL"/>
        </w:rPr>
      </w:pPr>
    </w:p>
    <w:sectPr w:rsidR="00A70B26" w:rsidRPr="0030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51"/>
    <w:multiLevelType w:val="multilevel"/>
    <w:tmpl w:val="C582A6A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 w15:restartNumberingAfterBreak="0">
    <w:nsid w:val="1D422DFC"/>
    <w:multiLevelType w:val="hybridMultilevel"/>
    <w:tmpl w:val="BA1E7F34"/>
    <w:lvl w:ilvl="0" w:tplc="B95A58EE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5A7000C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86978"/>
    <w:multiLevelType w:val="multilevel"/>
    <w:tmpl w:val="A0B256C8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0439EE"/>
    <w:multiLevelType w:val="hybridMultilevel"/>
    <w:tmpl w:val="A0B256C8"/>
    <w:lvl w:ilvl="0" w:tplc="915E41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sz w:val="18"/>
      </w:rPr>
    </w:lvl>
    <w:lvl w:ilvl="1" w:tplc="AC20FA1A">
      <w:numFmt w:val="none"/>
      <w:lvlText w:val=""/>
      <w:lvlJc w:val="left"/>
      <w:pPr>
        <w:tabs>
          <w:tab w:val="num" w:pos="360"/>
        </w:tabs>
      </w:pPr>
    </w:lvl>
    <w:lvl w:ilvl="2" w:tplc="65D896F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062806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642E3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53A6C9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E68CCE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436716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212DA9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35"/>
    <w:rsid w:val="001A1AC1"/>
    <w:rsid w:val="00302735"/>
    <w:rsid w:val="0075338C"/>
    <w:rsid w:val="008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A433"/>
  <w15:chartTrackingRefBased/>
  <w15:docId w15:val="{92E0263C-544F-45C2-83BF-715336D4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273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Kop1">
    <w:name w:val="heading 1"/>
    <w:basedOn w:val="Kop2"/>
    <w:next w:val="Plattetekst"/>
    <w:link w:val="Kop1Char"/>
    <w:qFormat/>
    <w:rsid w:val="00302735"/>
    <w:pPr>
      <w:spacing w:before="0" w:after="120"/>
      <w:outlineLvl w:val="0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02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02735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Plattetekst">
    <w:name w:val="Body Text"/>
    <w:basedOn w:val="Standaard"/>
    <w:link w:val="PlattetekstChar"/>
    <w:rsid w:val="00302735"/>
    <w:pPr>
      <w:spacing w:before="130" w:after="130"/>
    </w:pPr>
  </w:style>
  <w:style w:type="character" w:customStyle="1" w:styleId="PlattetekstChar">
    <w:name w:val="Platte tekst Char"/>
    <w:basedOn w:val="Standaardalinea-lettertype"/>
    <w:link w:val="Plattetekst"/>
    <w:rsid w:val="00302735"/>
    <w:rPr>
      <w:rFonts w:ascii="Arial" w:eastAsia="Times New Roman" w:hAnsi="Arial" w:cs="Times New Roman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02735"/>
    <w:pPr>
      <w:ind w:left="72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3027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Gutterswijk</dc:creator>
  <cp:keywords/>
  <dc:description/>
  <cp:lastModifiedBy>Natascha Gutterswijk</cp:lastModifiedBy>
  <cp:revision>2</cp:revision>
  <dcterms:created xsi:type="dcterms:W3CDTF">2020-04-16T12:34:00Z</dcterms:created>
  <dcterms:modified xsi:type="dcterms:W3CDTF">2020-04-16T12:39:00Z</dcterms:modified>
</cp:coreProperties>
</file>